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157"/>
        <w:rPr>
          <w:rFonts w:ascii="彩虹黑体" w:cs="彩虹黑体" w:eastAsia="彩虹黑体" w:hAnsi="彩虹黑体"/>
          <w:sz w:val="32"/>
          <w:szCs w:val="32"/>
          <w:u w:color="333333"/>
        </w:rPr>
      </w:pPr>
      <w:r>
        <w:rPr>
          <w:rFonts w:ascii="彩虹黑体" w:cs="彩虹黑体" w:eastAsia="彩虹黑体" w:hAnsi="彩虹黑体"/>
          <w:sz w:val="32"/>
          <w:szCs w:val="32"/>
          <w:u w:color="333333"/>
          <w:lang w:val="zh-TW" w:eastAsia="zh-TW"/>
        </w:rPr>
        <w:t>附件</w:t>
      </w:r>
      <w:r>
        <w:rPr>
          <w:rFonts w:ascii="彩虹黑体" w:cs="彩虹黑体" w:eastAsia="彩虹黑体" w:hAnsi="彩虹黑体"/>
          <w:sz w:val="32"/>
          <w:szCs w:val="32"/>
          <w:u w:color="333333"/>
        </w:rPr>
        <w:t>2</w:t>
      </w:r>
      <w:r>
        <w:rPr>
          <w:rFonts w:ascii="彩虹黑体" w:cs="彩虹黑体" w:eastAsia="彩虹黑体" w:hAnsi="彩虹黑体"/>
          <w:sz w:val="32"/>
          <w:szCs w:val="32"/>
          <w:u w:color="333333"/>
          <w:lang w:val="zh-TW" w:eastAsia="zh-TW"/>
        </w:rPr>
        <w:t>：</w:t>
      </w:r>
    </w:p>
    <w:p>
      <w:pPr>
        <w:pStyle w:val="style0"/>
        <w:widowControl/>
        <w:spacing w:before="240" w:after="135"/>
        <w:jc w:val="center"/>
        <w:outlineLvl w:val="2"/>
        <w:rPr>
          <w:rFonts w:ascii="彩虹小标宋" w:cs="彩虹小标宋" w:eastAsia="彩虹小标宋" w:hAnsi="彩虹小标宋"/>
          <w:b/>
          <w:bCs/>
          <w:color w:val="333333"/>
          <w:kern w:val="0"/>
          <w:sz w:val="32"/>
          <w:szCs w:val="32"/>
          <w:u w:color="333333"/>
          <w:lang w:val="zh-TW" w:eastAsia="zh-TW"/>
        </w:rPr>
      </w:pPr>
      <w:r>
        <w:rPr>
          <w:rFonts w:ascii="彩虹小标宋" w:cs="彩虹小标宋" w:eastAsia="彩虹小标宋" w:hAnsi="彩虹小标宋"/>
          <w:b/>
          <w:bCs/>
          <w:color w:val="333333"/>
          <w:kern w:val="0"/>
          <w:sz w:val="32"/>
          <w:szCs w:val="32"/>
          <w:u w:color="333333"/>
          <w:lang w:val="zh-TW" w:eastAsia="zh-TW"/>
        </w:rPr>
        <w:t>中国建设银行（印度尼西亚）股份有限公司隆重揭牌</w:t>
      </w:r>
    </w:p>
    <w:p>
      <w:pPr>
        <w:pStyle w:val="style0"/>
        <w:widowControl/>
        <w:spacing w:lineRule="atLeast" w:line="560"/>
        <w:ind w:firstLine="640"/>
        <w:jc w:val="left"/>
        <w:rPr>
          <w:rFonts w:ascii="Arial Unicode MS" w:cs="Arial Unicode MS" w:eastAsia="Arial Unicode MS" w:hAnsi="Arial Unicode MS"/>
          <w:kern w:val="0"/>
          <w:sz w:val="32"/>
          <w:szCs w:val="32"/>
        </w:rPr>
      </w:pPr>
      <w:r>
        <w:rPr>
          <w:rFonts w:eastAsia="Arial Unicode MS" w:hint="eastAsia"/>
          <w:kern w:val="0"/>
          <w:sz w:val="32"/>
          <w:szCs w:val="32"/>
          <w:lang w:val="zh-TW" w:eastAsia="zh-TW"/>
        </w:rPr>
        <w:t>印度尼西亚当地时间</w:t>
      </w:r>
      <w:r>
        <w:rPr>
          <w:rFonts w:ascii="Arial Unicode MS" w:hAnsi="Arial Unicode MS"/>
          <w:kern w:val="0"/>
          <w:sz w:val="32"/>
          <w:szCs w:val="32"/>
        </w:rPr>
        <w:t>2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月</w:t>
      </w:r>
      <w:r>
        <w:rPr>
          <w:rFonts w:ascii="Arial Unicode MS" w:hAnsi="Arial Unicode MS"/>
          <w:kern w:val="0"/>
          <w:sz w:val="32"/>
          <w:szCs w:val="32"/>
        </w:rPr>
        <w:t>24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日，中国建设银行（印度尼西亚）股份有限公司举行揭牌仪式。中国建设银行董事长王洪章、印尼公共事务和住房部部长穆罕穆德</w:t>
      </w:r>
      <w:r>
        <w:rPr>
          <w:rFonts w:ascii="Arial Unicode MS" w:hAnsi="Arial Unicode MS"/>
          <w:kern w:val="0"/>
          <w:sz w:val="32"/>
          <w:szCs w:val="32"/>
        </w:rPr>
        <w:t>·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巴苏其</w:t>
      </w:r>
      <w:r>
        <w:rPr>
          <w:rFonts w:ascii="Arial Unicode MS" w:hAnsi="Arial Unicode MS"/>
          <w:kern w:val="0"/>
          <w:sz w:val="32"/>
          <w:szCs w:val="32"/>
        </w:rPr>
        <w:t>·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哈迪慕里约诺先生、印尼中央银行</w:t>
      </w:r>
      <w:r>
        <w:rPr>
          <w:rFonts w:eastAsia="Arial Unicode MS" w:hint="eastAsia"/>
          <w:kern w:val="0"/>
          <w:sz w:val="32"/>
          <w:szCs w:val="32"/>
          <w:lang w:val="zh-CN"/>
        </w:rPr>
        <w:t>副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行长</w:t>
      </w:r>
      <w:r>
        <w:rPr>
          <w:rFonts w:eastAsia="Arial Unicode MS" w:hint="eastAsia"/>
          <w:kern w:val="0"/>
          <w:sz w:val="32"/>
          <w:szCs w:val="32"/>
          <w:lang w:val="zh-CN"/>
        </w:rPr>
        <w:t>米尔扎</w:t>
      </w:r>
      <w:r>
        <w:rPr>
          <w:rFonts w:ascii="Arial Unicode MS" w:hAnsi="Arial Unicode MS"/>
          <w:kern w:val="0"/>
          <w:sz w:val="32"/>
          <w:szCs w:val="32"/>
        </w:rPr>
        <w:t>·</w:t>
      </w:r>
      <w:r>
        <w:rPr>
          <w:rFonts w:eastAsia="Arial Unicode MS" w:hint="eastAsia"/>
          <w:kern w:val="0"/>
          <w:sz w:val="32"/>
          <w:szCs w:val="32"/>
          <w:lang w:val="zh-CN"/>
        </w:rPr>
        <w:t>阿迪雅斯瓦拉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先生、印尼金融服务管理局</w:t>
      </w:r>
      <w:r>
        <w:rPr>
          <w:rFonts w:eastAsia="Arial Unicode MS" w:hint="eastAsia"/>
          <w:kern w:val="0"/>
          <w:sz w:val="32"/>
          <w:szCs w:val="32"/>
          <w:lang w:val="zh-CN"/>
        </w:rPr>
        <w:t>副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主席姆利亚</w:t>
      </w:r>
      <w:r>
        <w:rPr>
          <w:rFonts w:ascii="Arial Unicode MS" w:hAnsi="Arial Unicode MS"/>
          <w:kern w:val="0"/>
          <w:sz w:val="32"/>
          <w:szCs w:val="32"/>
          <w:lang w:val="zh-TW" w:eastAsia="zh-TW"/>
        </w:rPr>
        <w:t>.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西瑞嘉先生、中国驻印尼大使谢锋先生以及来自中印尼两国政府、企业界、金融业等各界嘉宾出席了揭牌仪式。</w:t>
      </w:r>
    </w:p>
    <w:p>
      <w:pPr>
        <w:pStyle w:val="style0"/>
        <w:spacing w:lineRule="atLeast" w:line="560"/>
        <w:ind w:firstLine="640"/>
        <w:rPr>
          <w:rFonts w:ascii="Arial Unicode MS" w:cs="Arial Unicode MS" w:eastAsia="Arial Unicode MS" w:hAnsi="Arial Unicode MS"/>
          <w:kern w:val="0"/>
          <w:sz w:val="32"/>
          <w:szCs w:val="32"/>
        </w:rPr>
      </w:pPr>
      <w:r>
        <w:rPr>
          <w:rFonts w:eastAsia="Arial Unicode MS" w:hint="eastAsia"/>
          <w:kern w:val="0"/>
          <w:sz w:val="32"/>
          <w:szCs w:val="32"/>
          <w:lang w:val="zh-TW" w:eastAsia="zh-TW"/>
        </w:rPr>
        <w:t>揭牌仪式上，王洪章表示，印尼</w:t>
      </w:r>
      <w:r>
        <w:rPr>
          <w:rFonts w:eastAsia="Arial Unicode MS"/>
          <w:kern w:val="0"/>
          <w:sz w:val="32"/>
          <w:szCs w:val="32"/>
          <w:lang w:val="zh-TW" w:eastAsia="zh-TW"/>
        </w:rPr>
        <w:t>是一个朝气蓬勃和充满发展潜力的国家</w:t>
      </w:r>
      <w:r>
        <w:rPr>
          <w:rFonts w:eastAsia="Arial Unicode MS" w:hint="eastAsia"/>
          <w:sz w:val="32"/>
          <w:szCs w:val="32"/>
          <w:lang w:val="zh-TW" w:eastAsia="zh-TW"/>
        </w:rPr>
        <w:t>，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建设银行通过成功控股收购温杜银行进入印尼市场，是加快国际化转型发展，推进落实</w:t>
      </w:r>
      <w:r>
        <w:rPr>
          <w:rFonts w:ascii="宋体" w:cs="宋体" w:eastAsia="宋体" w:hAnsi="宋体"/>
          <w:kern w:val="0"/>
          <w:sz w:val="32"/>
          <w:szCs w:val="32"/>
        </w:rPr>
        <w:t>“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一带一路</w:t>
      </w:r>
      <w:r>
        <w:rPr>
          <w:rFonts w:ascii="宋体" w:cs="宋体" w:eastAsia="宋体" w:hAnsi="宋体"/>
          <w:kern w:val="0"/>
          <w:sz w:val="32"/>
          <w:szCs w:val="32"/>
        </w:rPr>
        <w:t>”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建设和</w:t>
      </w:r>
      <w:r>
        <w:rPr>
          <w:rFonts w:ascii="宋体" w:cs="宋体" w:eastAsia="宋体" w:hAnsi="宋体"/>
          <w:kern w:val="0"/>
          <w:sz w:val="32"/>
          <w:szCs w:val="32"/>
        </w:rPr>
        <w:t>“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走出去</w:t>
      </w:r>
      <w:r>
        <w:rPr>
          <w:rFonts w:ascii="宋体" w:cs="宋体" w:eastAsia="宋体" w:hAnsi="宋体"/>
          <w:kern w:val="0"/>
          <w:sz w:val="32"/>
          <w:szCs w:val="32"/>
        </w:rPr>
        <w:t>”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国家战略的重要举措，也是中印尼两国深化金融合作与交流的最新成果。下一步，</w:t>
      </w:r>
      <w:r>
        <w:rPr>
          <w:rFonts w:eastAsia="Arial Unicode MS" w:hint="eastAsia"/>
          <w:sz w:val="32"/>
          <w:szCs w:val="32"/>
          <w:lang w:val="zh-TW" w:eastAsia="zh-TW"/>
        </w:rPr>
        <w:t>建行集团</w:t>
      </w:r>
      <w:r>
        <w:rPr>
          <w:rFonts w:eastAsia="Arial Unicode MS" w:hint="eastAsia"/>
          <w:sz w:val="32"/>
          <w:szCs w:val="32"/>
          <w:lang w:val="zh-TW"/>
        </w:rPr>
        <w:t>将发挥在基础设施建设、住房按揭、人民币经营方面</w:t>
      </w:r>
      <w:bookmarkStart w:id="0" w:name="_GoBack"/>
      <w:bookmarkEnd w:id="0"/>
      <w:r>
        <w:rPr>
          <w:rFonts w:eastAsia="Arial Unicode MS" w:hint="eastAsia"/>
          <w:sz w:val="32"/>
          <w:szCs w:val="32"/>
          <w:lang w:val="zh-TW"/>
        </w:rPr>
        <w:t>的优势，</w:t>
      </w:r>
      <w:r>
        <w:rPr>
          <w:rFonts w:eastAsia="Arial Unicode MS" w:hint="eastAsia"/>
          <w:sz w:val="32"/>
          <w:szCs w:val="32"/>
          <w:lang w:val="zh-TW" w:eastAsia="zh-TW"/>
        </w:rPr>
        <w:t>全力支持建行印尼提升运营管理和业务拓展能力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，</w:t>
      </w:r>
      <w:r>
        <w:rPr>
          <w:rFonts w:eastAsia="Arial Unicode MS"/>
          <w:kern w:val="0"/>
          <w:sz w:val="32"/>
          <w:szCs w:val="32"/>
          <w:lang w:val="zh-TW" w:eastAsia="zh-TW"/>
        </w:rPr>
        <w:t>大幅度提升服务效率和服务质量</w:t>
      </w:r>
      <w:r>
        <w:rPr>
          <w:rFonts w:eastAsia="Arial Unicode MS" w:hint="eastAsia"/>
          <w:kern w:val="0"/>
          <w:sz w:val="32"/>
          <w:szCs w:val="32"/>
          <w:lang w:val="zh-TW"/>
        </w:rPr>
        <w:t>，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坚持</w:t>
      </w:r>
      <w:r>
        <w:rPr>
          <w:rFonts w:eastAsia="Arial Unicode MS" w:hint="eastAsia"/>
          <w:kern w:val="0"/>
          <w:sz w:val="32"/>
          <w:szCs w:val="32"/>
          <w:lang w:val="zh-TW"/>
        </w:rPr>
        <w:t>稳健合规经营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，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为中国和印尼两国客户提供优质的金融产品和综合化金融服务</w:t>
      </w:r>
      <w:r>
        <w:rPr>
          <w:rFonts w:eastAsia="Arial Unicode MS" w:hint="eastAsia"/>
          <w:kern w:val="0"/>
          <w:sz w:val="32"/>
          <w:szCs w:val="32"/>
          <w:lang w:val="zh-TW"/>
        </w:rPr>
        <w:t>，</w:t>
      </w:r>
      <w:r>
        <w:rPr>
          <w:rFonts w:eastAsia="Arial Unicode MS" w:hint="eastAsia"/>
          <w:kern w:val="0"/>
          <w:sz w:val="32"/>
          <w:szCs w:val="32"/>
          <w:lang w:val="zh-TW"/>
        </w:rPr>
        <w:t>同时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承担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更多的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社会责任，更多的融入印尼的社会环境、人文环境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，为印尼的经济和社会发展贡献力量。</w:t>
      </w:r>
    </w:p>
    <w:p>
      <w:pPr>
        <w:pStyle w:val="style0"/>
        <w:spacing w:lineRule="atLeast" w:line="560"/>
        <w:ind w:firstLine="640"/>
        <w:rPr>
          <w:rFonts w:ascii="Arial Unicode MS" w:cs="Arial Unicode MS" w:eastAsia="Arial Unicode MS" w:hAnsi="Arial Unicode MS"/>
          <w:kern w:val="0"/>
          <w:sz w:val="32"/>
          <w:szCs w:val="32"/>
          <w:lang w:eastAsia="zh-TW"/>
        </w:rPr>
      </w:pPr>
      <w:r>
        <w:rPr>
          <w:rFonts w:eastAsia="Arial Unicode MS" w:hint="eastAsia"/>
          <w:kern w:val="0"/>
          <w:sz w:val="32"/>
          <w:szCs w:val="32"/>
          <w:lang w:val="zh-TW" w:eastAsia="zh-TW"/>
        </w:rPr>
        <w:t>建行印尼是持有全牌照的印尼上市商业银行，由印尼温杜银行（</w:t>
      </w:r>
      <w:r>
        <w:rPr>
          <w:rFonts w:ascii="Arial Unicode MS" w:hAnsi="Arial Unicode MS"/>
          <w:kern w:val="0"/>
          <w:sz w:val="32"/>
          <w:szCs w:val="32"/>
        </w:rPr>
        <w:t>P</w:t>
      </w:r>
      <w:r>
        <w:rPr>
          <w:rFonts w:ascii="Arial Unicode MS" w:hAnsi="Arial Unicode MS"/>
          <w:kern w:val="0"/>
          <w:sz w:val="32"/>
          <w:szCs w:val="32"/>
        </w:rPr>
        <w:t xml:space="preserve">T Bank </w:t>
      </w:r>
      <w:r>
        <w:rPr>
          <w:rFonts w:ascii="Arial Unicode MS" w:hAnsi="Arial Unicode MS"/>
          <w:kern w:val="0"/>
          <w:sz w:val="32"/>
          <w:szCs w:val="32"/>
        </w:rPr>
        <w:t>Windu</w:t>
      </w:r>
      <w:r>
        <w:rPr>
          <w:rFonts w:ascii="Arial Unicode MS" w:hAnsi="Arial Unicode MS"/>
          <w:kern w:val="0"/>
          <w:sz w:val="32"/>
          <w:szCs w:val="32"/>
        </w:rPr>
        <w:t xml:space="preserve"> </w:t>
      </w:r>
      <w:r>
        <w:rPr>
          <w:rFonts w:ascii="Arial Unicode MS" w:hAnsi="Arial Unicode MS"/>
          <w:kern w:val="0"/>
          <w:sz w:val="32"/>
          <w:szCs w:val="32"/>
        </w:rPr>
        <w:t>Kentjana</w:t>
      </w:r>
      <w:r>
        <w:rPr>
          <w:rFonts w:ascii="Arial Unicode MS" w:hAnsi="Arial Unicode MS"/>
          <w:kern w:val="0"/>
          <w:sz w:val="32"/>
          <w:szCs w:val="32"/>
        </w:rPr>
        <w:t xml:space="preserve"> International </w:t>
      </w:r>
      <w:r>
        <w:rPr>
          <w:rFonts w:ascii="Arial Unicode MS" w:hAnsi="Arial Unicode MS"/>
          <w:kern w:val="0"/>
          <w:sz w:val="32"/>
          <w:szCs w:val="32"/>
        </w:rPr>
        <w:t>Tbk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）与安达银行（</w:t>
      </w:r>
      <w:r>
        <w:rPr>
          <w:rFonts w:ascii="Arial Unicode MS" w:hAnsi="Arial Unicode MS"/>
          <w:kern w:val="0"/>
          <w:sz w:val="32"/>
          <w:szCs w:val="32"/>
        </w:rPr>
        <w:t xml:space="preserve">PT Bank </w:t>
      </w:r>
      <w:r>
        <w:rPr>
          <w:rFonts w:ascii="Arial Unicode MS" w:hAnsi="Arial Unicode MS"/>
          <w:kern w:val="0"/>
          <w:sz w:val="32"/>
          <w:szCs w:val="32"/>
        </w:rPr>
        <w:t>Antardaerah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）合并而成。</w:t>
      </w:r>
      <w:r>
        <w:rPr>
          <w:rFonts w:ascii="Arial Unicode MS" w:hAnsi="Arial Unicode MS"/>
          <w:kern w:val="0"/>
          <w:sz w:val="32"/>
          <w:szCs w:val="32"/>
        </w:rPr>
        <w:t>2016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年</w:t>
      </w:r>
      <w:r>
        <w:rPr>
          <w:rFonts w:ascii="Arial Unicode MS" w:hAnsi="Arial Unicode MS"/>
          <w:kern w:val="0"/>
          <w:sz w:val="32"/>
          <w:szCs w:val="32"/>
        </w:rPr>
        <w:t>9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月，中国建设银行完成对印尼温杜银行</w:t>
      </w:r>
      <w:r>
        <w:rPr>
          <w:rFonts w:ascii="Arial Unicode MS" w:hAnsi="Arial Unicode MS"/>
          <w:kern w:val="0"/>
          <w:sz w:val="32"/>
          <w:szCs w:val="32"/>
        </w:rPr>
        <w:t>60%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股份的收购。经中国和印尼监管机构的批准，印尼温杜银行正式更名为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中国建设银行印度尼西亚股份有限公司（</w:t>
      </w:r>
      <w:r>
        <w:rPr>
          <w:rFonts w:ascii="Arial Unicode MS" w:hAnsi="Arial Unicode MS"/>
          <w:kern w:val="0"/>
          <w:sz w:val="32"/>
          <w:szCs w:val="32"/>
          <w:lang w:eastAsia="zh-TW"/>
        </w:rPr>
        <w:t xml:space="preserve">PT Bank China Construction Bank Indonesia </w:t>
      </w:r>
      <w:r>
        <w:rPr>
          <w:rFonts w:ascii="Arial Unicode MS" w:hAnsi="Arial Unicode MS"/>
          <w:kern w:val="0"/>
          <w:sz w:val="32"/>
          <w:szCs w:val="32"/>
          <w:lang w:eastAsia="zh-TW"/>
        </w:rPr>
        <w:t>Tbk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）。截至</w:t>
      </w:r>
      <w:r>
        <w:rPr>
          <w:rFonts w:ascii="Arial Unicode MS" w:hAnsi="Arial Unicode MS"/>
          <w:kern w:val="0"/>
          <w:sz w:val="32"/>
          <w:szCs w:val="32"/>
          <w:lang w:eastAsia="zh-TW"/>
        </w:rPr>
        <w:t>2016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年末，建行印尼在印尼国内</w:t>
      </w:r>
      <w:r>
        <w:rPr>
          <w:rFonts w:ascii="Arial Unicode MS" w:hAnsi="Arial Unicode MS"/>
          <w:kern w:val="0"/>
          <w:sz w:val="32"/>
          <w:szCs w:val="32"/>
          <w:lang w:eastAsia="zh-TW"/>
        </w:rPr>
        <w:t>15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个省份拥有</w:t>
      </w:r>
      <w:r>
        <w:rPr>
          <w:rFonts w:ascii="Arial Unicode MS" w:hAnsi="Arial Unicode MS"/>
          <w:kern w:val="0"/>
          <w:sz w:val="32"/>
          <w:szCs w:val="32"/>
          <w:lang w:eastAsia="zh-TW"/>
        </w:rPr>
        <w:t>112</w:t>
      </w:r>
      <w:r>
        <w:rPr>
          <w:rFonts w:eastAsia="Arial Unicode MS" w:hint="eastAsia"/>
          <w:kern w:val="0"/>
          <w:sz w:val="32"/>
          <w:szCs w:val="32"/>
          <w:lang w:val="zh-TW" w:eastAsia="zh-TW"/>
        </w:rPr>
        <w:t>家分支机构，通过多元化渠道为客户提供范围广泛的产品和服务。</w:t>
      </w:r>
    </w:p>
    <w:p>
      <w:pPr>
        <w:pStyle w:val="style0"/>
        <w:spacing w:lineRule="atLeast" w:line="560"/>
        <w:ind w:firstLine="640"/>
        <w:rPr>
          <w:rFonts w:ascii="Arial Unicode MS" w:cs="Arial Unicode MS" w:eastAsia="Arial Unicode MS" w:hAnsi="Arial Unicode MS"/>
          <w:sz w:val="32"/>
          <w:szCs w:val="32"/>
        </w:rPr>
      </w:pPr>
      <w:r>
        <w:rPr>
          <w:rFonts w:eastAsia="Arial Unicode MS" w:hint="eastAsia"/>
          <w:sz w:val="32"/>
          <w:szCs w:val="32"/>
          <w:lang w:val="zh-TW" w:eastAsia="zh-TW"/>
        </w:rPr>
        <w:t>中国建设银</w:t>
      </w:r>
      <w:r>
        <w:rPr>
          <w:rFonts w:eastAsia="Arial Unicode MS" w:hint="eastAsia"/>
          <w:sz w:val="32"/>
          <w:szCs w:val="32"/>
          <w:lang w:val="zh-TW" w:eastAsia="zh-TW"/>
        </w:rPr>
        <w:t>行作为中国最大的商业银行之一，批发、零售和投资银行等业务均处于行业领先地位。近年来，建设银行致力于综合性、多功能、集约化、创新型和智慧型五大转型方向为核心的集团整体转型发展，取得了显著的成效。</w:t>
      </w:r>
      <w:r>
        <w:rPr>
          <w:rFonts w:ascii="Arial Unicode MS" w:hAnsi="Arial Unicode MS"/>
          <w:sz w:val="32"/>
          <w:szCs w:val="32"/>
        </w:rPr>
        <w:t>2016</w:t>
      </w:r>
      <w:r>
        <w:rPr>
          <w:rFonts w:eastAsia="Arial Unicode MS" w:hint="eastAsia"/>
          <w:sz w:val="32"/>
          <w:szCs w:val="32"/>
          <w:lang w:val="zh-TW" w:eastAsia="zh-TW"/>
        </w:rPr>
        <w:t>年，建设银行独家荣获英国《欧洲货币》杂志</w:t>
      </w:r>
      <w:r>
        <w:rPr>
          <w:rFonts w:ascii="Arial Unicode MS" w:hAnsi="Arial Unicode MS"/>
          <w:sz w:val="32"/>
          <w:szCs w:val="32"/>
        </w:rPr>
        <w:t>2016</w:t>
      </w:r>
      <w:r>
        <w:rPr>
          <w:rFonts w:eastAsia="Arial Unicode MS" w:hint="eastAsia"/>
          <w:sz w:val="32"/>
          <w:szCs w:val="32"/>
          <w:lang w:val="zh-TW" w:eastAsia="zh-TW"/>
        </w:rPr>
        <w:t>年</w:t>
      </w:r>
      <w:r>
        <w:rPr>
          <w:rFonts w:ascii="Arial Unicode MS" w:hAnsi="Arial Unicode MS"/>
          <w:sz w:val="32"/>
          <w:szCs w:val="32"/>
        </w:rPr>
        <w:t>“</w:t>
      </w:r>
      <w:r>
        <w:rPr>
          <w:rFonts w:eastAsia="Arial Unicode MS" w:hint="eastAsia"/>
          <w:sz w:val="32"/>
          <w:szCs w:val="32"/>
          <w:lang w:val="zh-TW" w:eastAsia="zh-TW"/>
        </w:rPr>
        <w:t>中国最佳银行</w:t>
      </w:r>
      <w:r>
        <w:rPr>
          <w:rFonts w:ascii="Arial Unicode MS" w:hAnsi="Arial Unicode MS"/>
          <w:sz w:val="32"/>
          <w:szCs w:val="32"/>
        </w:rPr>
        <w:t>”</w:t>
      </w:r>
      <w:r>
        <w:rPr>
          <w:rFonts w:eastAsia="Arial Unicode MS" w:hint="eastAsia"/>
          <w:sz w:val="32"/>
          <w:szCs w:val="32"/>
          <w:lang w:val="zh-TW" w:eastAsia="zh-TW"/>
        </w:rPr>
        <w:t>；在英国《银行家》杂志发布的</w:t>
      </w:r>
      <w:r>
        <w:rPr>
          <w:rFonts w:ascii="Arial Unicode MS" w:hAnsi="Arial Unicode MS"/>
          <w:sz w:val="32"/>
          <w:szCs w:val="32"/>
        </w:rPr>
        <w:t>2016</w:t>
      </w:r>
      <w:r>
        <w:rPr>
          <w:rFonts w:eastAsia="Arial Unicode MS" w:hint="eastAsia"/>
          <w:sz w:val="32"/>
          <w:szCs w:val="32"/>
          <w:lang w:val="zh-TW" w:eastAsia="zh-TW"/>
        </w:rPr>
        <w:t>年</w:t>
      </w:r>
      <w:r>
        <w:rPr>
          <w:rFonts w:ascii="Arial Unicode MS" w:hAnsi="Arial Unicode MS"/>
          <w:sz w:val="32"/>
          <w:szCs w:val="32"/>
        </w:rPr>
        <w:t>“</w:t>
      </w:r>
      <w:r>
        <w:rPr>
          <w:rFonts w:eastAsia="Arial Unicode MS" w:hint="eastAsia"/>
          <w:sz w:val="32"/>
          <w:szCs w:val="32"/>
          <w:lang w:val="zh-TW" w:eastAsia="zh-TW"/>
        </w:rPr>
        <w:t>全球银行</w:t>
      </w:r>
      <w:r>
        <w:rPr>
          <w:rFonts w:ascii="Arial Unicode MS" w:hAnsi="Arial Unicode MS"/>
          <w:sz w:val="32"/>
          <w:szCs w:val="32"/>
        </w:rPr>
        <w:t>1000</w:t>
      </w:r>
      <w:r>
        <w:rPr>
          <w:rFonts w:eastAsia="Arial Unicode MS" w:hint="eastAsia"/>
          <w:sz w:val="32"/>
          <w:szCs w:val="32"/>
          <w:lang w:val="zh-TW" w:eastAsia="zh-TW"/>
        </w:rPr>
        <w:t>强</w:t>
      </w:r>
      <w:r>
        <w:rPr>
          <w:rFonts w:ascii="Arial Unicode MS" w:hAnsi="Arial Unicode MS"/>
          <w:sz w:val="32"/>
          <w:szCs w:val="32"/>
        </w:rPr>
        <w:t>”</w:t>
      </w:r>
      <w:r>
        <w:rPr>
          <w:rFonts w:eastAsia="Arial Unicode MS" w:hint="eastAsia"/>
          <w:sz w:val="32"/>
          <w:szCs w:val="32"/>
          <w:lang w:val="zh-TW" w:eastAsia="zh-TW"/>
        </w:rPr>
        <w:t>榜单中位居第二位；在</w:t>
      </w:r>
      <w:r>
        <w:rPr>
          <w:rFonts w:ascii="Arial Unicode MS" w:hAnsi="Arial Unicode MS"/>
          <w:sz w:val="32"/>
          <w:szCs w:val="32"/>
        </w:rPr>
        <w:t>2016</w:t>
      </w:r>
      <w:r>
        <w:rPr>
          <w:rFonts w:eastAsia="Arial Unicode MS" w:hint="eastAsia"/>
          <w:sz w:val="32"/>
          <w:szCs w:val="32"/>
          <w:lang w:val="zh-TW" w:eastAsia="zh-TW"/>
        </w:rPr>
        <w:t>《财富》全球</w:t>
      </w:r>
      <w:r>
        <w:rPr>
          <w:rFonts w:ascii="Arial Unicode MS" w:hAnsi="Arial Unicode MS"/>
          <w:sz w:val="32"/>
          <w:szCs w:val="32"/>
        </w:rPr>
        <w:t>500</w:t>
      </w:r>
      <w:r>
        <w:rPr>
          <w:rFonts w:eastAsia="Arial Unicode MS" w:hint="eastAsia"/>
          <w:sz w:val="32"/>
          <w:szCs w:val="32"/>
          <w:lang w:val="zh-TW" w:eastAsia="zh-TW"/>
        </w:rPr>
        <w:t>强中排名第</w:t>
      </w:r>
      <w:r>
        <w:rPr>
          <w:rFonts w:ascii="Arial Unicode MS" w:hAnsi="Arial Unicode MS"/>
          <w:sz w:val="32"/>
          <w:szCs w:val="32"/>
        </w:rPr>
        <w:t>22</w:t>
      </w:r>
      <w:r>
        <w:rPr>
          <w:rFonts w:eastAsia="Arial Unicode MS" w:hint="eastAsia"/>
          <w:sz w:val="32"/>
          <w:szCs w:val="32"/>
          <w:lang w:val="zh-TW" w:eastAsia="zh-TW"/>
        </w:rPr>
        <w:t>位。截至</w:t>
      </w:r>
      <w:r>
        <w:rPr>
          <w:rFonts w:ascii="Arial Unicode MS" w:hAnsi="Arial Unicode MS"/>
          <w:sz w:val="32"/>
          <w:szCs w:val="32"/>
        </w:rPr>
        <w:t>2016</w:t>
      </w:r>
      <w:r>
        <w:rPr>
          <w:rFonts w:eastAsia="Arial Unicode MS" w:hint="eastAsia"/>
          <w:sz w:val="32"/>
          <w:szCs w:val="32"/>
          <w:lang w:val="zh-TW" w:eastAsia="zh-TW"/>
        </w:rPr>
        <w:t>年</w:t>
      </w:r>
      <w:r>
        <w:rPr>
          <w:rFonts w:ascii="Arial Unicode MS" w:hAnsi="Arial Unicode MS"/>
          <w:sz w:val="32"/>
          <w:szCs w:val="32"/>
        </w:rPr>
        <w:t>9</w:t>
      </w:r>
      <w:r>
        <w:rPr>
          <w:rFonts w:eastAsia="Arial Unicode MS" w:hint="eastAsia"/>
          <w:sz w:val="32"/>
          <w:szCs w:val="32"/>
          <w:lang w:val="zh-TW" w:eastAsia="zh-TW"/>
        </w:rPr>
        <w:t>月，本行资产总额达</w:t>
      </w:r>
      <w:r>
        <w:rPr>
          <w:rFonts w:ascii="Arial Unicode MS" w:hAnsi="Arial Unicode MS"/>
          <w:sz w:val="32"/>
          <w:szCs w:val="32"/>
        </w:rPr>
        <w:t>2.95</w:t>
      </w:r>
      <w:r>
        <w:rPr>
          <w:rFonts w:eastAsia="Arial Unicode MS" w:hint="eastAsia"/>
          <w:sz w:val="32"/>
          <w:szCs w:val="32"/>
          <w:lang w:val="zh-TW" w:eastAsia="zh-TW"/>
        </w:rPr>
        <w:t>万亿美元，前</w:t>
      </w:r>
      <w:r>
        <w:rPr>
          <w:rFonts w:ascii="Arial Unicode MS" w:hAnsi="Arial Unicode MS"/>
          <w:sz w:val="32"/>
          <w:szCs w:val="32"/>
        </w:rPr>
        <w:t>9</w:t>
      </w:r>
      <w:r>
        <w:rPr>
          <w:rFonts w:eastAsia="Arial Unicode MS" w:hint="eastAsia"/>
          <w:sz w:val="32"/>
          <w:szCs w:val="32"/>
          <w:lang w:val="zh-TW" w:eastAsia="zh-TW"/>
        </w:rPr>
        <w:t>个月实现净利润</w:t>
      </w:r>
      <w:r>
        <w:rPr>
          <w:rFonts w:ascii="Arial Unicode MS" w:hAnsi="Arial Unicode MS"/>
          <w:sz w:val="32"/>
          <w:szCs w:val="32"/>
        </w:rPr>
        <w:t>287</w:t>
      </w:r>
      <w:r>
        <w:rPr>
          <w:rFonts w:eastAsia="Arial Unicode MS" w:hint="eastAsia"/>
          <w:sz w:val="32"/>
          <w:szCs w:val="32"/>
          <w:lang w:val="zh-TW" w:eastAsia="zh-TW"/>
        </w:rPr>
        <w:t>亿美元，年化平均资产回报率（</w:t>
      </w:r>
      <w:r>
        <w:rPr>
          <w:rFonts w:ascii="Arial Unicode MS" w:hAnsi="Arial Unicode MS"/>
          <w:sz w:val="32"/>
          <w:szCs w:val="32"/>
        </w:rPr>
        <w:t>ROA</w:t>
      </w:r>
      <w:r>
        <w:rPr>
          <w:rFonts w:eastAsia="Arial Unicode MS" w:hint="eastAsia"/>
          <w:sz w:val="32"/>
          <w:szCs w:val="32"/>
          <w:lang w:val="zh-TW" w:eastAsia="zh-TW"/>
        </w:rPr>
        <w:t>）和年化平均净资产回报率（</w:t>
      </w:r>
      <w:r>
        <w:rPr>
          <w:rFonts w:ascii="Arial Unicode MS" w:hAnsi="Arial Unicode MS"/>
          <w:sz w:val="32"/>
          <w:szCs w:val="32"/>
        </w:rPr>
        <w:t>ROE</w:t>
      </w:r>
      <w:r>
        <w:rPr>
          <w:rFonts w:eastAsia="Arial Unicode MS" w:hint="eastAsia"/>
          <w:sz w:val="32"/>
          <w:szCs w:val="32"/>
          <w:lang w:val="zh-TW" w:eastAsia="zh-TW"/>
        </w:rPr>
        <w:t>）分别为</w:t>
      </w:r>
      <w:r>
        <w:rPr>
          <w:rFonts w:ascii="Arial Unicode MS" w:hAnsi="Arial Unicode MS"/>
          <w:sz w:val="32"/>
          <w:szCs w:val="32"/>
        </w:rPr>
        <w:t>1.34%</w:t>
      </w:r>
      <w:r>
        <w:rPr>
          <w:rFonts w:eastAsia="Arial Unicode MS" w:hint="eastAsia"/>
          <w:sz w:val="32"/>
          <w:szCs w:val="32"/>
          <w:lang w:val="zh-TW" w:eastAsia="zh-TW"/>
        </w:rPr>
        <w:t>和</w:t>
      </w:r>
      <w:r>
        <w:rPr>
          <w:rFonts w:ascii="Arial Unicode MS" w:hAnsi="Arial Unicode MS"/>
          <w:sz w:val="32"/>
          <w:szCs w:val="32"/>
        </w:rPr>
        <w:t xml:space="preserve"> 17.16%</w:t>
      </w:r>
      <w:r>
        <w:rPr>
          <w:rFonts w:eastAsia="Arial Unicode MS" w:hint="eastAsia"/>
          <w:sz w:val="32"/>
          <w:szCs w:val="32"/>
          <w:lang w:val="zh-TW" w:eastAsia="zh-TW"/>
        </w:rPr>
        <w:t>，资本充足率和核心一级资本充足率分别为</w:t>
      </w:r>
      <w:r>
        <w:rPr>
          <w:rFonts w:ascii="Arial Unicode MS" w:hAnsi="Arial Unicode MS"/>
          <w:sz w:val="32"/>
          <w:szCs w:val="32"/>
        </w:rPr>
        <w:t>15.36%</w:t>
      </w:r>
      <w:r>
        <w:rPr>
          <w:rFonts w:eastAsia="Arial Unicode MS" w:hint="eastAsia"/>
          <w:sz w:val="32"/>
          <w:szCs w:val="32"/>
          <w:lang w:val="zh-TW" w:eastAsia="zh-TW"/>
        </w:rPr>
        <w:t>和</w:t>
      </w:r>
      <w:r>
        <w:rPr>
          <w:rFonts w:ascii="Arial Unicode MS" w:hAnsi="Arial Unicode MS"/>
          <w:sz w:val="32"/>
          <w:szCs w:val="32"/>
        </w:rPr>
        <w:t>13.37%,</w:t>
      </w:r>
      <w:r>
        <w:rPr>
          <w:rFonts w:eastAsia="Arial Unicode MS" w:hint="eastAsia"/>
          <w:sz w:val="32"/>
          <w:szCs w:val="32"/>
          <w:lang w:val="zh-TW" w:eastAsia="zh-TW"/>
        </w:rPr>
        <w:t>不良贷款率</w:t>
      </w:r>
      <w:r>
        <w:rPr>
          <w:rFonts w:ascii="Arial Unicode MS" w:hAnsi="Arial Unicode MS"/>
          <w:sz w:val="32"/>
          <w:szCs w:val="32"/>
        </w:rPr>
        <w:t>1.56%</w:t>
      </w:r>
      <w:r>
        <w:rPr>
          <w:rFonts w:eastAsia="Arial Unicode MS" w:hint="eastAsia"/>
          <w:sz w:val="32"/>
          <w:szCs w:val="32"/>
          <w:lang w:val="zh-TW" w:eastAsia="zh-TW"/>
        </w:rPr>
        <w:t>。</w:t>
      </w:r>
    </w:p>
    <w:p>
      <w:pPr>
        <w:pStyle w:val="style0"/>
        <w:spacing w:lineRule="atLeast" w:line="560"/>
        <w:ind w:firstLine="640"/>
        <w:rPr/>
      </w:pPr>
      <w:r>
        <w:rPr>
          <w:rFonts w:eastAsia="Arial Unicode MS" w:hint="eastAsia"/>
          <w:sz w:val="32"/>
          <w:szCs w:val="32"/>
          <w:lang w:val="zh-TW" w:eastAsia="zh-TW"/>
        </w:rPr>
        <w:t>近年来建设银行积极推进国际化发展战略，稳步扩大海外业务和机构网络，不断拓宽服务渠道，丰富金融产品，提升全球化客户服务能力和国际竞争能力。目前建行集团在全球</w:t>
      </w:r>
      <w:r>
        <w:rPr>
          <w:rFonts w:ascii="Arial Unicode MS" w:hAnsi="Arial Unicode MS"/>
          <w:sz w:val="32"/>
          <w:szCs w:val="32"/>
        </w:rPr>
        <w:t>29</w:t>
      </w:r>
      <w:r>
        <w:rPr>
          <w:rFonts w:eastAsia="Arial Unicode MS" w:hint="eastAsia"/>
          <w:sz w:val="32"/>
          <w:szCs w:val="32"/>
          <w:lang w:val="zh-TW" w:eastAsia="zh-TW"/>
        </w:rPr>
        <w:t>个国家和地区拥有</w:t>
      </w:r>
      <w:r>
        <w:rPr>
          <w:rFonts w:ascii="Arial Unicode MS" w:hAnsi="Arial Unicode MS"/>
          <w:sz w:val="32"/>
          <w:szCs w:val="32"/>
        </w:rPr>
        <w:t>240</w:t>
      </w:r>
      <w:r>
        <w:rPr>
          <w:rFonts w:eastAsia="Arial Unicode MS" w:hint="eastAsia"/>
          <w:sz w:val="32"/>
          <w:szCs w:val="32"/>
          <w:lang w:val="zh-TW" w:eastAsia="zh-TW"/>
        </w:rPr>
        <w:t>余家境外机构。</w:t>
      </w:r>
    </w:p>
    <w:sectPr>
      <w:footerReference w:type="default" r:id="rId2"/>
      <w:pgSz w:w="11900" w:h="16840" w:orient="portrait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 Unicode MS"/>
    <w:panose1 w:val="020b0604020000020204"/>
    <w:charset w:val="86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Helvetica">
    <w:altName w:val="Helvetica"/>
    <w:panose1 w:val="020b0604020000020204"/>
    <w:charset w:val="00"/>
    <w:family w:val="swiss"/>
    <w:pitch w:val="variable"/>
    <w:sig w:usb0="00000003" w:usb1="00000000" w:usb2="00000000" w:usb3="00000000" w:csb0="00000001" w:csb1="00000000"/>
  </w:font>
  <w:font w:name="彩虹黑体">
    <w:altName w:val="彩虹黑体"/>
    <w:panose1 w:val="02010609000000010101"/>
    <w:charset w:val="86"/>
    <w:family w:val="modern"/>
    <w:pitch w:val="fixed"/>
    <w:sig w:usb0="00000001" w:usb1="080E0000" w:usb2="00000010" w:usb3="00000000" w:csb0="00040000" w:csb1="00000000"/>
  </w:font>
  <w:font w:name="彩虹小标宋">
    <w:altName w:val="彩虹小标宋"/>
    <w:panose1 w:val="02010609000000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tabs>
        <w:tab w:val="clear" w:pos="8306"/>
      </w:tabs>
      <w:jc w:val="center"/>
      <w:rPr/>
    </w:pPr>
    <w:r>
      <w:rPr/>
      <w:fldChar w:fldCharType="begin"/>
    </w:r>
    <w:r>
      <w:instrText xml:space="preserve"> PAGE </w:instrText>
    </w:r>
    <w:r>
      <w:rPr/>
      <w:fldChar w:fldCharType="separate"/>
    </w:r>
    <w:r>
      <w:rPr>
        <w:noProof/>
      </w:rPr>
      <w:t>1</w:t>
    </w:r>
    <w:r>
      <w:rPr/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characterSpacingControl w:val="doNotCompress"/>
  <w:compat>
    <w:useFELayout/>
    <w:compatSetting w:name="compatibilityMode" w:uri="http://schemas.microsoft.com/office/word" w:val="14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Arial Unicode MS" w:hAnsi="Times New Roman"/>
        <w:bdr w:val="nil"/>
        <w:lang w:val="en-US" w:bidi="ar-SA" w:eastAsia="zh-CN"/>
      </w:rPr>
    </w:rPrDefault>
    <w:pPrDefault>
      <w:pPr>
        <w:pBdr>
          <w:left w:val="nil"/>
          <w:right w:val="nil"/>
          <w:top w:val="nil"/>
          <w:bottom w:val="nil"/>
          <w:bar w:val="nil"/>
          <w:between w:val="nil"/>
        </w:pBdr>
      </w:pPr>
    </w:pPrDefault>
  </w:docDefaults>
  <w:style w:type="paragraph" w:default="1" w:styleId="style0">
    <w:name w:val="Normal"/>
    <w:next w:val="style0"/>
    <w:pPr>
      <w:widowControl w:val="false"/>
      <w:jc w:val="both"/>
    </w:pPr>
    <w:rPr>
      <w:rFonts w:ascii="Calibri" w:cs="Calibri" w:eastAsia="Calibri" w:hAnsi="Calibri"/>
      <w:color w:val="000000"/>
      <w:kern w:val="2"/>
      <w:sz w:val="21"/>
      <w:szCs w:val="21"/>
      <w:u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u w:val="single"/>
    </w:rPr>
  </w:style>
  <w:style w:type="table" w:customStyle="1" w:styleId="style4097">
    <w:name w:val="Table Normal"/>
    <w:next w:val="style4097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customStyle="1" w:styleId="style4098">
    <w:name w:val="页眉与页脚"/>
    <w:next w:val="style4098"/>
    <w:pPr>
      <w:tabs>
        <w:tab w:val="right" w:leader="none" w:pos="9020"/>
      </w:tabs>
    </w:pPr>
    <w:rPr>
      <w:rFonts w:ascii="Helvetica" w:cs="Arial Unicode MS" w:hAnsi="Helvetica"/>
      <w:color w:val="000000"/>
      <w:sz w:val="24"/>
      <w:szCs w:val="24"/>
    </w:rPr>
  </w:style>
  <w:style w:type="paragraph" w:styleId="style32">
    <w:name w:val="footer"/>
    <w:next w:val="style32"/>
    <w:pPr>
      <w:widowControl w:val="false"/>
      <w:tabs>
        <w:tab w:val="center" w:leader="none" w:pos="4153"/>
        <w:tab w:val="right" w:leader="none" w:pos="8306"/>
      </w:tabs>
      <w:jc w:val="both"/>
    </w:pPr>
    <w:rPr>
      <w:rFonts w:ascii="Calibri" w:cs="Calibri" w:eastAsia="Calibri" w:hAnsi="Calibri"/>
      <w:color w:val="000000"/>
      <w:kern w:val="2"/>
      <w:sz w:val="18"/>
      <w:szCs w:val="18"/>
      <w:u w:color="000000"/>
    </w:rPr>
  </w:style>
  <w:style w:type="paragraph" w:styleId="style157">
    <w:name w:val="No Spacing"/>
    <w:next w:val="style157"/>
    <w:pPr>
      <w:widowControl w:val="false"/>
      <w:jc w:val="both"/>
    </w:pPr>
    <w:rPr>
      <w:rFonts w:ascii="Calibri" w:cs="Calibri" w:eastAsia="Calibri" w:hAnsi="Calibri"/>
      <w:color w:val="000000"/>
      <w:kern w:val="2"/>
      <w:sz w:val="21"/>
      <w:szCs w:val="21"/>
      <w:u w:color="000000"/>
    </w:rPr>
  </w:style>
  <w:style w:type="paragraph" w:styleId="style31">
    <w:name w:val="header"/>
    <w:basedOn w:val="style0"/>
    <w:next w:val="style31"/>
    <w:link w:val="style4099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9">
    <w:name w:val="页眉 Char"/>
    <w:basedOn w:val="style65"/>
    <w:next w:val="style4099"/>
    <w:link w:val="style31"/>
    <w:uiPriority w:val="99"/>
    <w:rPr>
      <w:rFonts w:ascii="Calibri" w:cs="Calibri" w:eastAsia="Calibri" w:hAnsi="Calibri"/>
      <w:color w:val="000000"/>
      <w:kern w:val="2"/>
      <w:sz w:val="18"/>
      <w:szCs w:val="18"/>
      <w:u w:color="000000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1017</Words>
  <Characters>1164</Characters>
  <Application>WPS Office</Application>
  <DocSecurity>0</DocSecurity>
  <Paragraphs>9</Paragraphs>
  <ScaleCrop>false</ScaleCrop>
  <LinksUpToDate>false</LinksUpToDate>
  <CharactersWithSpaces>1178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2017-02-24T11:43:00Z</dcterms:created>
  <dc:creator>WPS Office</dc:creator>
  <lastModifiedBy>HTC M10u</lastModifiedBy>
  <dcterms:modified xsi:type="dcterms:W3CDTF">2017-02-24T13:13:34Z</dcterms:modified>
  <revision>2</revision>
</coreProperties>
</file>