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0E28C" w14:textId="77777777" w:rsidR="00D75768" w:rsidRPr="00A4590A" w:rsidRDefault="00D75768" w:rsidP="00A4590A">
      <w:pPr>
        <w:adjustRightInd w:val="0"/>
        <w:snapToGrid w:val="0"/>
        <w:spacing w:line="360" w:lineRule="auto"/>
        <w:jc w:val="center"/>
        <w:rPr>
          <w:rFonts w:asciiTheme="minorEastAsia" w:eastAsiaTheme="minorEastAsia" w:hAnsiTheme="minorEastAsia" w:cs="Arial"/>
          <w:sz w:val="24"/>
        </w:rPr>
      </w:pPr>
      <w:bookmarkStart w:id="0" w:name="_GoBack"/>
      <w:bookmarkEnd w:id="0"/>
    </w:p>
    <w:p w14:paraId="6A85DE14" w14:textId="77777777" w:rsidR="00D75768" w:rsidRPr="00A4590A" w:rsidRDefault="00D75768" w:rsidP="00A4590A">
      <w:pPr>
        <w:adjustRightInd w:val="0"/>
        <w:snapToGrid w:val="0"/>
        <w:spacing w:line="360" w:lineRule="auto"/>
        <w:jc w:val="center"/>
        <w:rPr>
          <w:rFonts w:asciiTheme="minorEastAsia" w:eastAsiaTheme="minorEastAsia" w:hAnsiTheme="minorEastAsia" w:cs="Arial"/>
          <w:sz w:val="44"/>
          <w:szCs w:val="44"/>
        </w:rPr>
      </w:pPr>
    </w:p>
    <w:p w14:paraId="46D85D85" w14:textId="77777777" w:rsidR="00A4590A" w:rsidRPr="00A4590A" w:rsidRDefault="00D75768" w:rsidP="00A4590A">
      <w:pPr>
        <w:adjustRightInd w:val="0"/>
        <w:snapToGrid w:val="0"/>
        <w:spacing w:line="360" w:lineRule="auto"/>
        <w:jc w:val="center"/>
        <w:rPr>
          <w:rFonts w:asciiTheme="minorEastAsia" w:eastAsiaTheme="minorEastAsia" w:hAnsiTheme="minorEastAsia" w:cs="Arial"/>
          <w:b/>
          <w:sz w:val="44"/>
          <w:szCs w:val="44"/>
        </w:rPr>
      </w:pPr>
      <w:proofErr w:type="gramStart"/>
      <w:r w:rsidRPr="00A4590A">
        <w:rPr>
          <w:rFonts w:asciiTheme="minorEastAsia" w:eastAsiaTheme="minorEastAsia" w:hAnsiTheme="minorEastAsia" w:cs="Arial" w:hint="eastAsia"/>
          <w:b/>
          <w:sz w:val="44"/>
          <w:szCs w:val="44"/>
        </w:rPr>
        <w:t>汇添富</w:t>
      </w:r>
      <w:r w:rsidR="009B29A4" w:rsidRPr="00A4590A">
        <w:rPr>
          <w:rFonts w:asciiTheme="minorEastAsia" w:eastAsiaTheme="minorEastAsia" w:hAnsiTheme="minorEastAsia" w:cs="Arial" w:hint="eastAsia"/>
          <w:b/>
          <w:sz w:val="44"/>
          <w:szCs w:val="44"/>
        </w:rPr>
        <w:t>悦享</w:t>
      </w:r>
      <w:proofErr w:type="gramEnd"/>
      <w:r w:rsidRPr="00A4590A">
        <w:rPr>
          <w:rFonts w:asciiTheme="minorEastAsia" w:eastAsiaTheme="minorEastAsia" w:hAnsiTheme="minorEastAsia" w:cs="Arial" w:hint="eastAsia"/>
          <w:b/>
          <w:sz w:val="44"/>
          <w:szCs w:val="44"/>
        </w:rPr>
        <w:t>定期开放混合型证券投资基金</w:t>
      </w:r>
    </w:p>
    <w:p w14:paraId="65884F47" w14:textId="75888E88" w:rsidR="00D75768" w:rsidRPr="00A4590A" w:rsidRDefault="00D75768" w:rsidP="00A4590A">
      <w:pPr>
        <w:adjustRightInd w:val="0"/>
        <w:snapToGrid w:val="0"/>
        <w:spacing w:line="360" w:lineRule="auto"/>
        <w:jc w:val="center"/>
        <w:rPr>
          <w:rFonts w:asciiTheme="minorEastAsia" w:eastAsiaTheme="minorEastAsia" w:hAnsiTheme="minorEastAsia" w:cs="Arial"/>
          <w:b/>
          <w:sz w:val="44"/>
          <w:szCs w:val="44"/>
        </w:rPr>
      </w:pPr>
      <w:r w:rsidRPr="00A4590A">
        <w:rPr>
          <w:rFonts w:asciiTheme="minorEastAsia" w:eastAsiaTheme="minorEastAsia" w:hAnsiTheme="minorEastAsia" w:cs="Arial" w:hint="eastAsia"/>
          <w:b/>
          <w:sz w:val="44"/>
          <w:szCs w:val="44"/>
        </w:rPr>
        <w:t>托管协议</w:t>
      </w:r>
    </w:p>
    <w:p w14:paraId="39564B88" w14:textId="77777777" w:rsidR="00D75768" w:rsidRPr="00A4590A" w:rsidRDefault="00D75768" w:rsidP="00A4590A">
      <w:pPr>
        <w:spacing w:line="360" w:lineRule="auto"/>
        <w:rPr>
          <w:rFonts w:asciiTheme="minorEastAsia" w:eastAsiaTheme="minorEastAsia" w:hAnsiTheme="minorEastAsia"/>
        </w:rPr>
      </w:pPr>
    </w:p>
    <w:p w14:paraId="3E9C7A19" w14:textId="77777777" w:rsidR="00D75768" w:rsidRPr="00A4590A" w:rsidRDefault="00D75768" w:rsidP="00A4590A">
      <w:pPr>
        <w:spacing w:line="360" w:lineRule="auto"/>
        <w:rPr>
          <w:rFonts w:asciiTheme="minorEastAsia" w:eastAsiaTheme="minorEastAsia" w:hAnsiTheme="minorEastAsia"/>
        </w:rPr>
      </w:pPr>
    </w:p>
    <w:p w14:paraId="1404D4D2" w14:textId="77777777" w:rsidR="00D75768" w:rsidRPr="00A4590A" w:rsidRDefault="00D75768" w:rsidP="00A4590A">
      <w:pPr>
        <w:spacing w:line="360" w:lineRule="auto"/>
        <w:rPr>
          <w:rFonts w:asciiTheme="minorEastAsia" w:eastAsiaTheme="minorEastAsia" w:hAnsiTheme="minorEastAsia"/>
        </w:rPr>
      </w:pPr>
    </w:p>
    <w:p w14:paraId="1865378F" w14:textId="77777777" w:rsidR="00D75768" w:rsidRPr="00A4590A" w:rsidRDefault="00D75768" w:rsidP="00A4590A">
      <w:pPr>
        <w:spacing w:line="360" w:lineRule="auto"/>
        <w:rPr>
          <w:rFonts w:asciiTheme="minorEastAsia" w:eastAsiaTheme="minorEastAsia" w:hAnsiTheme="minorEastAsia"/>
        </w:rPr>
      </w:pPr>
    </w:p>
    <w:p w14:paraId="27BE93DD" w14:textId="77777777" w:rsidR="00A4590A" w:rsidRPr="00A4590A" w:rsidRDefault="00A4590A" w:rsidP="00A4590A">
      <w:pPr>
        <w:spacing w:line="360" w:lineRule="auto"/>
        <w:rPr>
          <w:rFonts w:asciiTheme="minorEastAsia" w:eastAsiaTheme="minorEastAsia" w:hAnsiTheme="minorEastAsia"/>
        </w:rPr>
      </w:pPr>
    </w:p>
    <w:p w14:paraId="45AFCCC5" w14:textId="77777777" w:rsidR="00A4590A" w:rsidRPr="00A4590A" w:rsidRDefault="00A4590A" w:rsidP="00A4590A">
      <w:pPr>
        <w:spacing w:line="360" w:lineRule="auto"/>
        <w:rPr>
          <w:rFonts w:asciiTheme="minorEastAsia" w:eastAsiaTheme="minorEastAsia" w:hAnsiTheme="minorEastAsia" w:hint="eastAsia"/>
        </w:rPr>
      </w:pPr>
    </w:p>
    <w:p w14:paraId="12D0E1BC" w14:textId="77777777" w:rsidR="00A4590A" w:rsidRPr="00A4590A" w:rsidRDefault="00A4590A" w:rsidP="00A4590A">
      <w:pPr>
        <w:spacing w:line="360" w:lineRule="auto"/>
        <w:rPr>
          <w:rFonts w:asciiTheme="minorEastAsia" w:eastAsiaTheme="minorEastAsia" w:hAnsiTheme="minorEastAsia"/>
        </w:rPr>
      </w:pPr>
    </w:p>
    <w:p w14:paraId="669896E6" w14:textId="77777777" w:rsidR="00A4590A" w:rsidRPr="00A4590A" w:rsidRDefault="00A4590A" w:rsidP="00A4590A">
      <w:pPr>
        <w:spacing w:line="360" w:lineRule="auto"/>
        <w:rPr>
          <w:rFonts w:asciiTheme="minorEastAsia" w:eastAsiaTheme="minorEastAsia" w:hAnsiTheme="minorEastAsia"/>
        </w:rPr>
      </w:pPr>
    </w:p>
    <w:p w14:paraId="06E1E68D" w14:textId="77777777" w:rsidR="00A4590A" w:rsidRPr="00A4590A" w:rsidRDefault="00A4590A" w:rsidP="00A4590A">
      <w:pPr>
        <w:spacing w:line="360" w:lineRule="auto"/>
        <w:rPr>
          <w:rFonts w:asciiTheme="minorEastAsia" w:eastAsiaTheme="minorEastAsia" w:hAnsiTheme="minorEastAsia"/>
        </w:rPr>
      </w:pPr>
    </w:p>
    <w:p w14:paraId="23565F67" w14:textId="77777777" w:rsidR="00A4590A" w:rsidRPr="00A4590A" w:rsidRDefault="00A4590A" w:rsidP="00A4590A">
      <w:pPr>
        <w:spacing w:line="360" w:lineRule="auto"/>
        <w:rPr>
          <w:rFonts w:asciiTheme="minorEastAsia" w:eastAsiaTheme="minorEastAsia" w:hAnsiTheme="minorEastAsia" w:hint="eastAsia"/>
        </w:rPr>
      </w:pPr>
    </w:p>
    <w:p w14:paraId="7270932E" w14:textId="77777777" w:rsidR="00A4590A" w:rsidRPr="00A4590A" w:rsidRDefault="00A4590A" w:rsidP="00A4590A">
      <w:pPr>
        <w:spacing w:line="360" w:lineRule="auto"/>
        <w:rPr>
          <w:rFonts w:asciiTheme="minorEastAsia" w:eastAsiaTheme="minorEastAsia" w:hAnsiTheme="minorEastAsia"/>
        </w:rPr>
      </w:pPr>
    </w:p>
    <w:p w14:paraId="63CB3A27" w14:textId="77777777" w:rsidR="00A4590A" w:rsidRPr="00A4590A" w:rsidRDefault="00A4590A" w:rsidP="00A4590A">
      <w:pPr>
        <w:spacing w:line="360" w:lineRule="auto"/>
        <w:rPr>
          <w:rFonts w:asciiTheme="minorEastAsia" w:eastAsiaTheme="minorEastAsia" w:hAnsiTheme="minorEastAsia"/>
        </w:rPr>
      </w:pPr>
    </w:p>
    <w:p w14:paraId="65EAA141" w14:textId="77777777" w:rsidR="00A4590A" w:rsidRPr="00A4590A" w:rsidRDefault="00A4590A" w:rsidP="00A4590A">
      <w:pPr>
        <w:spacing w:line="360" w:lineRule="auto"/>
        <w:rPr>
          <w:rFonts w:asciiTheme="minorEastAsia" w:eastAsiaTheme="minorEastAsia" w:hAnsiTheme="minorEastAsia" w:hint="eastAsia"/>
        </w:rPr>
      </w:pPr>
    </w:p>
    <w:p w14:paraId="2D028809" w14:textId="77777777" w:rsidR="00D75768" w:rsidRPr="00A4590A" w:rsidRDefault="00D75768" w:rsidP="00A4590A">
      <w:pPr>
        <w:spacing w:line="360" w:lineRule="auto"/>
        <w:rPr>
          <w:rFonts w:asciiTheme="minorEastAsia" w:eastAsiaTheme="minorEastAsia" w:hAnsiTheme="minorEastAsia"/>
        </w:rPr>
      </w:pPr>
    </w:p>
    <w:p w14:paraId="5529957D" w14:textId="77777777" w:rsidR="00D75768" w:rsidRPr="00A4590A" w:rsidRDefault="00D75768" w:rsidP="00A4590A">
      <w:pPr>
        <w:spacing w:line="360" w:lineRule="auto"/>
        <w:rPr>
          <w:rFonts w:asciiTheme="minorEastAsia" w:eastAsiaTheme="minorEastAsia" w:hAnsiTheme="minorEastAsia"/>
        </w:rPr>
      </w:pPr>
    </w:p>
    <w:p w14:paraId="3758BC8B" w14:textId="77777777" w:rsidR="00D75768" w:rsidRPr="00A4590A" w:rsidRDefault="00D75768" w:rsidP="00A4590A">
      <w:pPr>
        <w:spacing w:line="360" w:lineRule="auto"/>
        <w:rPr>
          <w:rFonts w:asciiTheme="minorEastAsia" w:eastAsiaTheme="minorEastAsia" w:hAnsiTheme="minorEastAsia"/>
          <w:sz w:val="32"/>
        </w:rPr>
      </w:pPr>
    </w:p>
    <w:p w14:paraId="6245FC0F" w14:textId="77777777" w:rsidR="00D75768" w:rsidRPr="00A4590A" w:rsidRDefault="00D75768" w:rsidP="00A4590A">
      <w:pPr>
        <w:adjustRightInd w:val="0"/>
        <w:snapToGrid w:val="0"/>
        <w:spacing w:line="360" w:lineRule="auto"/>
        <w:jc w:val="center"/>
        <w:outlineLvl w:val="0"/>
        <w:rPr>
          <w:rFonts w:asciiTheme="minorEastAsia" w:eastAsiaTheme="minorEastAsia" w:hAnsiTheme="minorEastAsia" w:cs="Arial"/>
          <w:b/>
          <w:bCs/>
          <w:sz w:val="32"/>
          <w:szCs w:val="44"/>
        </w:rPr>
      </w:pPr>
      <w:r w:rsidRPr="00A4590A">
        <w:rPr>
          <w:rFonts w:asciiTheme="minorEastAsia" w:eastAsiaTheme="minorEastAsia" w:hAnsiTheme="minorEastAsia" w:cs="Arial" w:hint="eastAsia"/>
          <w:b/>
          <w:bCs/>
          <w:sz w:val="32"/>
          <w:szCs w:val="44"/>
        </w:rPr>
        <w:t>基金管理人：</w:t>
      </w:r>
      <w:proofErr w:type="gramStart"/>
      <w:r w:rsidRPr="00A4590A">
        <w:rPr>
          <w:rFonts w:asciiTheme="minorEastAsia" w:eastAsiaTheme="minorEastAsia" w:hAnsiTheme="minorEastAsia" w:cs="Arial" w:hint="eastAsia"/>
          <w:b/>
          <w:bCs/>
          <w:sz w:val="32"/>
          <w:szCs w:val="44"/>
        </w:rPr>
        <w:t>汇添富基金</w:t>
      </w:r>
      <w:proofErr w:type="gramEnd"/>
      <w:r w:rsidRPr="00A4590A">
        <w:rPr>
          <w:rFonts w:asciiTheme="minorEastAsia" w:eastAsiaTheme="minorEastAsia" w:hAnsiTheme="minorEastAsia" w:cs="Arial" w:hint="eastAsia"/>
          <w:b/>
          <w:bCs/>
          <w:sz w:val="32"/>
          <w:szCs w:val="44"/>
        </w:rPr>
        <w:t>管理股份有限公司</w:t>
      </w:r>
    </w:p>
    <w:p w14:paraId="31E3A3F1" w14:textId="77777777" w:rsidR="00D75768" w:rsidRPr="00A4590A" w:rsidRDefault="00D75768" w:rsidP="00A4590A">
      <w:pPr>
        <w:adjustRightInd w:val="0"/>
        <w:snapToGrid w:val="0"/>
        <w:spacing w:line="360" w:lineRule="auto"/>
        <w:jc w:val="center"/>
        <w:outlineLvl w:val="0"/>
        <w:rPr>
          <w:rFonts w:asciiTheme="minorEastAsia" w:eastAsiaTheme="minorEastAsia" w:hAnsiTheme="minorEastAsia" w:cs="Arial"/>
          <w:b/>
          <w:bCs/>
          <w:sz w:val="32"/>
          <w:szCs w:val="44"/>
        </w:rPr>
      </w:pPr>
      <w:r w:rsidRPr="00A4590A">
        <w:rPr>
          <w:rFonts w:asciiTheme="minorEastAsia" w:eastAsiaTheme="minorEastAsia" w:hAnsiTheme="minorEastAsia" w:cs="Arial" w:hint="eastAsia"/>
          <w:b/>
          <w:bCs/>
          <w:sz w:val="32"/>
          <w:szCs w:val="44"/>
        </w:rPr>
        <w:t>基金托管人：中国建设银行股份有限公司</w:t>
      </w:r>
    </w:p>
    <w:p w14:paraId="05151BE3" w14:textId="77777777" w:rsidR="00D75768" w:rsidRPr="00A4590A" w:rsidRDefault="00D75768" w:rsidP="00A4590A">
      <w:pPr>
        <w:adjustRightInd w:val="0"/>
        <w:snapToGrid w:val="0"/>
        <w:spacing w:line="360" w:lineRule="auto"/>
        <w:jc w:val="center"/>
        <w:outlineLvl w:val="0"/>
        <w:rPr>
          <w:rFonts w:asciiTheme="minorEastAsia" w:eastAsiaTheme="minorEastAsia" w:hAnsiTheme="minorEastAsia" w:cs="Arial"/>
          <w:sz w:val="24"/>
        </w:rPr>
      </w:pPr>
    </w:p>
    <w:p w14:paraId="15DB83F2" w14:textId="77777777" w:rsidR="00D75768" w:rsidRPr="00A4590A" w:rsidRDefault="00D75768" w:rsidP="00A4590A">
      <w:pPr>
        <w:adjustRightInd w:val="0"/>
        <w:snapToGrid w:val="0"/>
        <w:spacing w:line="360" w:lineRule="auto"/>
        <w:jc w:val="center"/>
        <w:outlineLvl w:val="0"/>
        <w:rPr>
          <w:rFonts w:asciiTheme="minorEastAsia" w:eastAsiaTheme="minorEastAsia" w:hAnsiTheme="minorEastAsia" w:cs="Arial"/>
          <w:sz w:val="24"/>
        </w:rPr>
      </w:pPr>
    </w:p>
    <w:p w14:paraId="2161A266" w14:textId="77777777" w:rsidR="00D75768" w:rsidRPr="00A4590A" w:rsidRDefault="00D75768" w:rsidP="00A4590A">
      <w:pPr>
        <w:adjustRightInd w:val="0"/>
        <w:snapToGrid w:val="0"/>
        <w:spacing w:line="360" w:lineRule="auto"/>
        <w:jc w:val="center"/>
        <w:outlineLvl w:val="0"/>
        <w:rPr>
          <w:rFonts w:asciiTheme="minorEastAsia" w:eastAsiaTheme="minorEastAsia" w:hAnsiTheme="minorEastAsia" w:cs="Arial"/>
          <w:sz w:val="24"/>
        </w:rPr>
      </w:pPr>
    </w:p>
    <w:p w14:paraId="2FFFDD57" w14:textId="77777777" w:rsidR="00A4590A" w:rsidRPr="00A4590A" w:rsidRDefault="00A4590A" w:rsidP="00A4590A">
      <w:pPr>
        <w:spacing w:line="360" w:lineRule="auto"/>
        <w:jc w:val="center"/>
        <w:rPr>
          <w:rFonts w:asciiTheme="minorEastAsia" w:eastAsiaTheme="minorEastAsia" w:hAnsiTheme="minorEastAsia"/>
          <w:b/>
          <w:bCs/>
          <w:sz w:val="30"/>
        </w:rPr>
        <w:sectPr w:rsidR="00A4590A" w:rsidRPr="00A4590A">
          <w:pgSz w:w="11906" w:h="16838" w:code="9"/>
          <w:pgMar w:top="1418" w:right="1701" w:bottom="1418" w:left="1701" w:header="851" w:footer="992" w:gutter="0"/>
          <w:cols w:space="425"/>
          <w:docGrid w:type="lines" w:linePitch="312"/>
        </w:sectPr>
      </w:pPr>
    </w:p>
    <w:p w14:paraId="3EF4D9FD" w14:textId="1CFCF997" w:rsidR="00D75768" w:rsidRPr="00A4590A" w:rsidRDefault="00D75768" w:rsidP="00A4590A">
      <w:pPr>
        <w:spacing w:line="360" w:lineRule="auto"/>
        <w:jc w:val="center"/>
        <w:rPr>
          <w:rFonts w:asciiTheme="minorEastAsia" w:eastAsiaTheme="minorEastAsia" w:hAnsiTheme="minorEastAsia"/>
          <w:b/>
          <w:bCs/>
          <w:sz w:val="28"/>
        </w:rPr>
      </w:pPr>
      <w:r w:rsidRPr="00A4590A">
        <w:rPr>
          <w:rFonts w:asciiTheme="minorEastAsia" w:eastAsiaTheme="minorEastAsia" w:hAnsiTheme="minorEastAsia" w:hint="eastAsia"/>
          <w:b/>
          <w:bCs/>
          <w:sz w:val="28"/>
        </w:rPr>
        <w:lastRenderedPageBreak/>
        <w:t>目    录</w:t>
      </w:r>
    </w:p>
    <w:p w14:paraId="525BA08A" w14:textId="77777777" w:rsidR="00D75768" w:rsidRPr="00A4590A" w:rsidRDefault="00D75768" w:rsidP="00A4590A">
      <w:pPr>
        <w:pStyle w:val="21"/>
        <w:spacing w:line="360" w:lineRule="auto"/>
        <w:rPr>
          <w:rFonts w:asciiTheme="minorEastAsia" w:eastAsiaTheme="minorEastAsia" w:hAnsiTheme="minorEastAsia"/>
          <w:noProof/>
          <w:sz w:val="20"/>
        </w:rPr>
      </w:pPr>
      <w:r w:rsidRPr="00A4590A">
        <w:rPr>
          <w:rFonts w:asciiTheme="minorEastAsia" w:eastAsiaTheme="minorEastAsia" w:hAnsiTheme="minorEastAsia" w:hint="eastAsia"/>
          <w:sz w:val="20"/>
        </w:rPr>
        <w:fldChar w:fldCharType="begin"/>
      </w:r>
      <w:r w:rsidRPr="00A4590A">
        <w:rPr>
          <w:rFonts w:asciiTheme="minorEastAsia" w:eastAsiaTheme="minorEastAsia" w:hAnsiTheme="minorEastAsia" w:hint="eastAsia"/>
          <w:sz w:val="20"/>
        </w:rPr>
        <w:instrText xml:space="preserve"> TOC \o "1-2" \h \z </w:instrText>
      </w:r>
      <w:r w:rsidRPr="00A4590A">
        <w:rPr>
          <w:rFonts w:asciiTheme="minorEastAsia" w:eastAsiaTheme="minorEastAsia" w:hAnsiTheme="minorEastAsia" w:hint="eastAsia"/>
          <w:sz w:val="20"/>
        </w:rPr>
        <w:fldChar w:fldCharType="separate"/>
      </w:r>
      <w:hyperlink w:anchor="_Toc124325885" w:history="1">
        <w:r w:rsidRPr="00A4590A">
          <w:rPr>
            <w:rStyle w:val="a9"/>
            <w:rFonts w:asciiTheme="minorEastAsia" w:eastAsiaTheme="minorEastAsia" w:hAnsiTheme="minorEastAsia" w:hint="eastAsia"/>
            <w:noProof/>
            <w:sz w:val="24"/>
            <w:szCs w:val="32"/>
          </w:rPr>
          <w:t>一、基金托管协议当事人</w:t>
        </w:r>
        <w:r w:rsidRPr="00A4590A">
          <w:rPr>
            <w:rFonts w:asciiTheme="minorEastAsia" w:eastAsiaTheme="minorEastAsia" w:hAnsiTheme="minorEastAsia" w:hint="eastAsia"/>
            <w:noProof/>
            <w:webHidden/>
            <w:sz w:val="20"/>
          </w:rPr>
          <w:tab/>
        </w:r>
        <w:r w:rsidRPr="00A4590A">
          <w:rPr>
            <w:rFonts w:asciiTheme="minorEastAsia" w:eastAsiaTheme="minorEastAsia" w:hAnsiTheme="minorEastAsia" w:hint="eastAsia"/>
            <w:noProof/>
            <w:webHidden/>
            <w:sz w:val="20"/>
          </w:rPr>
          <w:fldChar w:fldCharType="begin"/>
        </w:r>
        <w:r w:rsidRPr="00A4590A">
          <w:rPr>
            <w:rFonts w:asciiTheme="minorEastAsia" w:eastAsiaTheme="minorEastAsia" w:hAnsiTheme="minorEastAsia" w:hint="eastAsia"/>
            <w:noProof/>
            <w:webHidden/>
            <w:sz w:val="20"/>
          </w:rPr>
          <w:instrText xml:space="preserve"> PAGEREF _Toc124325885 \h </w:instrText>
        </w:r>
        <w:r w:rsidRPr="00A4590A">
          <w:rPr>
            <w:rFonts w:asciiTheme="minorEastAsia" w:eastAsiaTheme="minorEastAsia" w:hAnsiTheme="minorEastAsia" w:hint="eastAsia"/>
            <w:noProof/>
            <w:webHidden/>
            <w:sz w:val="20"/>
          </w:rPr>
        </w:r>
        <w:r w:rsidRPr="00A4590A">
          <w:rPr>
            <w:rFonts w:asciiTheme="minorEastAsia" w:eastAsiaTheme="minorEastAsia" w:hAnsiTheme="minorEastAsia" w:hint="eastAsia"/>
            <w:noProof/>
            <w:webHidden/>
            <w:sz w:val="20"/>
          </w:rPr>
          <w:fldChar w:fldCharType="separate"/>
        </w:r>
        <w:r w:rsidRPr="00A4590A">
          <w:rPr>
            <w:rFonts w:asciiTheme="minorEastAsia" w:eastAsiaTheme="minorEastAsia" w:hAnsiTheme="minorEastAsia"/>
            <w:noProof/>
            <w:webHidden/>
            <w:sz w:val="20"/>
          </w:rPr>
          <w:t>3</w:t>
        </w:r>
        <w:r w:rsidRPr="00A4590A">
          <w:rPr>
            <w:rFonts w:asciiTheme="minorEastAsia" w:eastAsiaTheme="minorEastAsia" w:hAnsiTheme="minorEastAsia" w:hint="eastAsia"/>
            <w:noProof/>
            <w:webHidden/>
            <w:sz w:val="20"/>
          </w:rPr>
          <w:fldChar w:fldCharType="end"/>
        </w:r>
      </w:hyperlink>
    </w:p>
    <w:p w14:paraId="202AC1F9"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86" w:history="1">
        <w:r w:rsidR="00D75768" w:rsidRPr="00A4590A">
          <w:rPr>
            <w:rStyle w:val="a9"/>
            <w:rFonts w:asciiTheme="minorEastAsia" w:eastAsiaTheme="minorEastAsia" w:hAnsiTheme="minorEastAsia" w:hint="eastAsia"/>
            <w:noProof/>
            <w:sz w:val="24"/>
            <w:szCs w:val="32"/>
          </w:rPr>
          <w:t>二、基金托管协议的依据、目的和原则</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_Toc124325886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4</w:t>
        </w:r>
        <w:r w:rsidR="00D75768" w:rsidRPr="00A4590A">
          <w:rPr>
            <w:rFonts w:asciiTheme="minorEastAsia" w:eastAsiaTheme="minorEastAsia" w:hAnsiTheme="minorEastAsia" w:hint="eastAsia"/>
            <w:noProof/>
            <w:webHidden/>
            <w:sz w:val="20"/>
          </w:rPr>
          <w:fldChar w:fldCharType="end"/>
        </w:r>
      </w:hyperlink>
    </w:p>
    <w:p w14:paraId="23604041"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87" w:history="1">
        <w:r w:rsidR="00D75768" w:rsidRPr="00A4590A">
          <w:rPr>
            <w:rStyle w:val="a9"/>
            <w:rFonts w:asciiTheme="minorEastAsia" w:eastAsiaTheme="minorEastAsia" w:hAnsiTheme="minorEastAsia" w:hint="eastAsia"/>
            <w:noProof/>
            <w:sz w:val="24"/>
            <w:szCs w:val="32"/>
          </w:rPr>
          <w:t>三、基金托管人对基金管理人的业务监督和核查</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_Toc124325887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4</w:t>
        </w:r>
        <w:r w:rsidR="00D75768" w:rsidRPr="00A4590A">
          <w:rPr>
            <w:rFonts w:asciiTheme="minorEastAsia" w:eastAsiaTheme="minorEastAsia" w:hAnsiTheme="minorEastAsia" w:hint="eastAsia"/>
            <w:noProof/>
            <w:webHidden/>
            <w:sz w:val="20"/>
          </w:rPr>
          <w:fldChar w:fldCharType="end"/>
        </w:r>
      </w:hyperlink>
    </w:p>
    <w:p w14:paraId="3E8DCC70"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88" w:history="1">
        <w:r w:rsidR="00D75768" w:rsidRPr="00A4590A">
          <w:rPr>
            <w:rStyle w:val="a9"/>
            <w:rFonts w:asciiTheme="minorEastAsia" w:eastAsiaTheme="minorEastAsia" w:hAnsiTheme="minorEastAsia" w:hint="eastAsia"/>
            <w:noProof/>
            <w:sz w:val="24"/>
            <w:szCs w:val="32"/>
          </w:rPr>
          <w:t>四、基金管理人对基金托管人的业务核查</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_Toc124325888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9</w:t>
        </w:r>
        <w:r w:rsidR="00D75768" w:rsidRPr="00A4590A">
          <w:rPr>
            <w:rFonts w:asciiTheme="minorEastAsia" w:eastAsiaTheme="minorEastAsia" w:hAnsiTheme="minorEastAsia" w:hint="eastAsia"/>
            <w:noProof/>
            <w:webHidden/>
            <w:sz w:val="20"/>
          </w:rPr>
          <w:fldChar w:fldCharType="end"/>
        </w:r>
      </w:hyperlink>
    </w:p>
    <w:p w14:paraId="60E8C1D2"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89" w:history="1">
        <w:r w:rsidR="00D75768" w:rsidRPr="00A4590A">
          <w:rPr>
            <w:rStyle w:val="a9"/>
            <w:rFonts w:asciiTheme="minorEastAsia" w:eastAsiaTheme="minorEastAsia" w:hAnsiTheme="minorEastAsia" w:hint="eastAsia"/>
            <w:noProof/>
            <w:sz w:val="24"/>
            <w:szCs w:val="32"/>
          </w:rPr>
          <w:t>五、基金财产的保管</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_Toc124325889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10</w:t>
        </w:r>
        <w:r w:rsidR="00D75768" w:rsidRPr="00A4590A">
          <w:rPr>
            <w:rFonts w:asciiTheme="minorEastAsia" w:eastAsiaTheme="minorEastAsia" w:hAnsiTheme="minorEastAsia" w:hint="eastAsia"/>
            <w:noProof/>
            <w:webHidden/>
            <w:sz w:val="20"/>
          </w:rPr>
          <w:fldChar w:fldCharType="end"/>
        </w:r>
      </w:hyperlink>
    </w:p>
    <w:p w14:paraId="5C608D06"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90" w:history="1">
        <w:r w:rsidR="00D75768" w:rsidRPr="00A4590A">
          <w:rPr>
            <w:rStyle w:val="a9"/>
            <w:rFonts w:asciiTheme="minorEastAsia" w:eastAsiaTheme="minorEastAsia" w:hAnsiTheme="minorEastAsia" w:hint="eastAsia"/>
            <w:noProof/>
            <w:sz w:val="24"/>
            <w:szCs w:val="32"/>
          </w:rPr>
          <w:t>六、指令的发送、确认及执行</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_Toc124325890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12</w:t>
        </w:r>
        <w:r w:rsidR="00D75768" w:rsidRPr="00A4590A">
          <w:rPr>
            <w:rFonts w:asciiTheme="minorEastAsia" w:eastAsiaTheme="minorEastAsia" w:hAnsiTheme="minorEastAsia" w:hint="eastAsia"/>
            <w:noProof/>
            <w:webHidden/>
            <w:sz w:val="20"/>
          </w:rPr>
          <w:fldChar w:fldCharType="end"/>
        </w:r>
      </w:hyperlink>
    </w:p>
    <w:p w14:paraId="7F0F030E"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91" w:history="1">
        <w:r w:rsidR="00D75768" w:rsidRPr="00A4590A">
          <w:rPr>
            <w:rStyle w:val="a9"/>
            <w:rFonts w:asciiTheme="minorEastAsia" w:eastAsiaTheme="minorEastAsia" w:hAnsiTheme="minorEastAsia" w:hint="eastAsia"/>
            <w:noProof/>
            <w:sz w:val="24"/>
            <w:szCs w:val="32"/>
          </w:rPr>
          <w:t>七、交易及清算交收安排</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_Toc124325891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14</w:t>
        </w:r>
        <w:r w:rsidR="00D75768" w:rsidRPr="00A4590A">
          <w:rPr>
            <w:rFonts w:asciiTheme="minorEastAsia" w:eastAsiaTheme="minorEastAsia" w:hAnsiTheme="minorEastAsia" w:hint="eastAsia"/>
            <w:noProof/>
            <w:webHidden/>
            <w:sz w:val="20"/>
          </w:rPr>
          <w:fldChar w:fldCharType="end"/>
        </w:r>
      </w:hyperlink>
    </w:p>
    <w:p w14:paraId="7DF53528"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92" w:history="1">
        <w:r w:rsidR="00D75768" w:rsidRPr="00A4590A">
          <w:rPr>
            <w:rStyle w:val="a9"/>
            <w:rFonts w:asciiTheme="minorEastAsia" w:eastAsiaTheme="minorEastAsia" w:hAnsiTheme="minorEastAsia" w:hint="eastAsia"/>
            <w:noProof/>
            <w:sz w:val="24"/>
            <w:szCs w:val="32"/>
          </w:rPr>
          <w:t>八、基金资产净值计算和会计核算</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_Toc124325892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17</w:t>
        </w:r>
        <w:r w:rsidR="00D75768" w:rsidRPr="00A4590A">
          <w:rPr>
            <w:rFonts w:asciiTheme="minorEastAsia" w:eastAsiaTheme="minorEastAsia" w:hAnsiTheme="minorEastAsia" w:hint="eastAsia"/>
            <w:noProof/>
            <w:webHidden/>
            <w:sz w:val="20"/>
          </w:rPr>
          <w:fldChar w:fldCharType="end"/>
        </w:r>
      </w:hyperlink>
    </w:p>
    <w:p w14:paraId="43053026"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93" w:history="1">
        <w:r w:rsidR="00D75768" w:rsidRPr="00A4590A">
          <w:rPr>
            <w:rStyle w:val="a9"/>
            <w:rFonts w:asciiTheme="minorEastAsia" w:eastAsiaTheme="minorEastAsia" w:hAnsiTheme="minorEastAsia" w:hint="eastAsia"/>
            <w:noProof/>
            <w:sz w:val="24"/>
            <w:szCs w:val="32"/>
          </w:rPr>
          <w:t>九、基金收益分配</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_Toc124325893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21</w:t>
        </w:r>
        <w:r w:rsidR="00D75768" w:rsidRPr="00A4590A">
          <w:rPr>
            <w:rFonts w:asciiTheme="minorEastAsia" w:eastAsiaTheme="minorEastAsia" w:hAnsiTheme="minorEastAsia" w:hint="eastAsia"/>
            <w:noProof/>
            <w:webHidden/>
            <w:sz w:val="20"/>
          </w:rPr>
          <w:fldChar w:fldCharType="end"/>
        </w:r>
      </w:hyperlink>
    </w:p>
    <w:p w14:paraId="3914FBF2"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94" w:history="1">
        <w:r w:rsidR="00D75768" w:rsidRPr="00A4590A">
          <w:rPr>
            <w:rStyle w:val="a9"/>
            <w:rFonts w:asciiTheme="minorEastAsia" w:eastAsiaTheme="minorEastAsia" w:hAnsiTheme="minorEastAsia" w:hint="eastAsia"/>
            <w:noProof/>
            <w:sz w:val="24"/>
            <w:szCs w:val="32"/>
          </w:rPr>
          <w:t>十、基金信息披露</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_Toc124325894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21</w:t>
        </w:r>
        <w:r w:rsidR="00D75768" w:rsidRPr="00A4590A">
          <w:rPr>
            <w:rFonts w:asciiTheme="minorEastAsia" w:eastAsiaTheme="minorEastAsia" w:hAnsiTheme="minorEastAsia" w:hint="eastAsia"/>
            <w:noProof/>
            <w:webHidden/>
            <w:sz w:val="20"/>
          </w:rPr>
          <w:fldChar w:fldCharType="end"/>
        </w:r>
      </w:hyperlink>
    </w:p>
    <w:p w14:paraId="75123A18"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95" w:history="1">
        <w:r w:rsidR="00D75768" w:rsidRPr="00A4590A">
          <w:rPr>
            <w:rStyle w:val="a9"/>
            <w:rFonts w:asciiTheme="minorEastAsia" w:eastAsiaTheme="minorEastAsia" w:hAnsiTheme="minorEastAsia" w:hint="eastAsia"/>
            <w:noProof/>
            <w:sz w:val="24"/>
            <w:szCs w:val="32"/>
          </w:rPr>
          <w:t>十一、基金费用</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_Toc124325895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22</w:t>
        </w:r>
        <w:r w:rsidR="00D75768" w:rsidRPr="00A4590A">
          <w:rPr>
            <w:rFonts w:asciiTheme="minorEastAsia" w:eastAsiaTheme="minorEastAsia" w:hAnsiTheme="minorEastAsia" w:hint="eastAsia"/>
            <w:noProof/>
            <w:webHidden/>
            <w:sz w:val="20"/>
          </w:rPr>
          <w:fldChar w:fldCharType="end"/>
        </w:r>
      </w:hyperlink>
    </w:p>
    <w:p w14:paraId="574B99FC"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96" w:history="1">
        <w:r w:rsidR="00D75768" w:rsidRPr="00A4590A">
          <w:rPr>
            <w:rStyle w:val="a9"/>
            <w:rFonts w:asciiTheme="minorEastAsia" w:eastAsiaTheme="minorEastAsia" w:hAnsiTheme="minorEastAsia" w:hint="eastAsia"/>
            <w:noProof/>
            <w:sz w:val="24"/>
            <w:szCs w:val="32"/>
          </w:rPr>
          <w:t>十二、基金份额持有人名册的保管</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_Toc124325896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23</w:t>
        </w:r>
        <w:r w:rsidR="00D75768" w:rsidRPr="00A4590A">
          <w:rPr>
            <w:rFonts w:asciiTheme="minorEastAsia" w:eastAsiaTheme="minorEastAsia" w:hAnsiTheme="minorEastAsia" w:hint="eastAsia"/>
            <w:noProof/>
            <w:webHidden/>
            <w:sz w:val="20"/>
          </w:rPr>
          <w:fldChar w:fldCharType="end"/>
        </w:r>
      </w:hyperlink>
    </w:p>
    <w:p w14:paraId="0A5F4EB6"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97" w:history="1">
        <w:r w:rsidR="00D75768" w:rsidRPr="00A4590A">
          <w:rPr>
            <w:rStyle w:val="a9"/>
            <w:rFonts w:asciiTheme="minorEastAsia" w:eastAsiaTheme="minorEastAsia" w:hAnsiTheme="minorEastAsia" w:hint="eastAsia"/>
            <w:noProof/>
            <w:sz w:val="24"/>
            <w:szCs w:val="32"/>
          </w:rPr>
          <w:t>十三、基金有关文件档案的保存</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_Toc124325897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24</w:t>
        </w:r>
        <w:r w:rsidR="00D75768" w:rsidRPr="00A4590A">
          <w:rPr>
            <w:rFonts w:asciiTheme="minorEastAsia" w:eastAsiaTheme="minorEastAsia" w:hAnsiTheme="minorEastAsia" w:hint="eastAsia"/>
            <w:noProof/>
            <w:webHidden/>
            <w:sz w:val="20"/>
          </w:rPr>
          <w:fldChar w:fldCharType="end"/>
        </w:r>
      </w:hyperlink>
    </w:p>
    <w:p w14:paraId="055B60C1"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98" w:history="1">
        <w:r w:rsidR="00D75768" w:rsidRPr="00A4590A">
          <w:rPr>
            <w:rStyle w:val="a9"/>
            <w:rFonts w:asciiTheme="minorEastAsia" w:eastAsiaTheme="minorEastAsia" w:hAnsiTheme="minorEastAsia" w:hint="eastAsia"/>
            <w:noProof/>
            <w:sz w:val="24"/>
            <w:szCs w:val="32"/>
          </w:rPr>
          <w:t>十四、基金管理人和基金托管人的更换</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_Toc124325898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24</w:t>
        </w:r>
        <w:r w:rsidR="00D75768" w:rsidRPr="00A4590A">
          <w:rPr>
            <w:rFonts w:asciiTheme="minorEastAsia" w:eastAsiaTheme="minorEastAsia" w:hAnsiTheme="minorEastAsia" w:hint="eastAsia"/>
            <w:noProof/>
            <w:webHidden/>
            <w:sz w:val="20"/>
          </w:rPr>
          <w:fldChar w:fldCharType="end"/>
        </w:r>
      </w:hyperlink>
    </w:p>
    <w:p w14:paraId="1D9B8E47"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899" w:history="1">
        <w:r w:rsidR="00D75768" w:rsidRPr="00A4590A">
          <w:rPr>
            <w:rStyle w:val="a9"/>
            <w:rFonts w:asciiTheme="minorEastAsia" w:eastAsiaTheme="minorEastAsia" w:hAnsiTheme="minorEastAsia" w:hint="eastAsia"/>
            <w:noProof/>
            <w:sz w:val="24"/>
            <w:szCs w:val="32"/>
          </w:rPr>
          <w:t>十五、禁止行为</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_Toc124325899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26</w:t>
        </w:r>
        <w:r w:rsidR="00D75768" w:rsidRPr="00A4590A">
          <w:rPr>
            <w:rFonts w:asciiTheme="minorEastAsia" w:eastAsiaTheme="minorEastAsia" w:hAnsiTheme="minorEastAsia" w:hint="eastAsia"/>
            <w:noProof/>
            <w:webHidden/>
            <w:sz w:val="20"/>
          </w:rPr>
          <w:fldChar w:fldCharType="end"/>
        </w:r>
      </w:hyperlink>
    </w:p>
    <w:p w14:paraId="73ADFC2D"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900" w:history="1">
        <w:r w:rsidR="00D75768" w:rsidRPr="00A4590A">
          <w:rPr>
            <w:rStyle w:val="a9"/>
            <w:rFonts w:asciiTheme="minorEastAsia" w:eastAsiaTheme="minorEastAsia" w:hAnsiTheme="minorEastAsia" w:hint="eastAsia"/>
            <w:noProof/>
            <w:sz w:val="24"/>
            <w:szCs w:val="32"/>
          </w:rPr>
          <w:t>十六、托管协议的变更、终止与基金财产的清算</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_Toc124325900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26</w:t>
        </w:r>
        <w:r w:rsidR="00D75768" w:rsidRPr="00A4590A">
          <w:rPr>
            <w:rFonts w:asciiTheme="minorEastAsia" w:eastAsiaTheme="minorEastAsia" w:hAnsiTheme="minorEastAsia" w:hint="eastAsia"/>
            <w:noProof/>
            <w:webHidden/>
            <w:sz w:val="20"/>
          </w:rPr>
          <w:fldChar w:fldCharType="end"/>
        </w:r>
      </w:hyperlink>
    </w:p>
    <w:p w14:paraId="74B04800"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901" w:history="1">
        <w:r w:rsidR="00D75768" w:rsidRPr="00A4590A">
          <w:rPr>
            <w:rStyle w:val="a9"/>
            <w:rFonts w:asciiTheme="minorEastAsia" w:eastAsiaTheme="minorEastAsia" w:hAnsiTheme="minorEastAsia" w:hint="eastAsia"/>
            <w:noProof/>
            <w:sz w:val="24"/>
            <w:szCs w:val="32"/>
          </w:rPr>
          <w:t>十七、违约责任</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_Toc124325901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27</w:t>
        </w:r>
        <w:r w:rsidR="00D75768" w:rsidRPr="00A4590A">
          <w:rPr>
            <w:rFonts w:asciiTheme="minorEastAsia" w:eastAsiaTheme="minorEastAsia" w:hAnsiTheme="minorEastAsia" w:hint="eastAsia"/>
            <w:noProof/>
            <w:webHidden/>
            <w:sz w:val="20"/>
          </w:rPr>
          <w:fldChar w:fldCharType="end"/>
        </w:r>
      </w:hyperlink>
    </w:p>
    <w:p w14:paraId="29C7195E"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902" w:history="1">
        <w:r w:rsidR="00D75768" w:rsidRPr="00A4590A">
          <w:rPr>
            <w:rStyle w:val="a9"/>
            <w:rFonts w:asciiTheme="minorEastAsia" w:eastAsiaTheme="minorEastAsia" w:hAnsiTheme="minorEastAsia" w:hint="eastAsia"/>
            <w:noProof/>
            <w:sz w:val="24"/>
            <w:szCs w:val="32"/>
          </w:rPr>
          <w:t>十八、争议解决方式</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_Toc124325902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28</w:t>
        </w:r>
        <w:r w:rsidR="00D75768" w:rsidRPr="00A4590A">
          <w:rPr>
            <w:rFonts w:asciiTheme="minorEastAsia" w:eastAsiaTheme="minorEastAsia" w:hAnsiTheme="minorEastAsia" w:hint="eastAsia"/>
            <w:noProof/>
            <w:webHidden/>
            <w:sz w:val="20"/>
          </w:rPr>
          <w:fldChar w:fldCharType="end"/>
        </w:r>
      </w:hyperlink>
    </w:p>
    <w:p w14:paraId="5624FE3E"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903" w:history="1">
        <w:r w:rsidR="00D75768" w:rsidRPr="00A4590A">
          <w:rPr>
            <w:rStyle w:val="a9"/>
            <w:rFonts w:asciiTheme="minorEastAsia" w:eastAsiaTheme="minorEastAsia" w:hAnsiTheme="minorEastAsia" w:hint="eastAsia"/>
            <w:noProof/>
            <w:sz w:val="24"/>
            <w:szCs w:val="32"/>
          </w:rPr>
          <w:t>十九、托管协议的效力</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_Toc124325903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28</w:t>
        </w:r>
        <w:r w:rsidR="00D75768" w:rsidRPr="00A4590A">
          <w:rPr>
            <w:rFonts w:asciiTheme="minorEastAsia" w:eastAsiaTheme="minorEastAsia" w:hAnsiTheme="minorEastAsia" w:hint="eastAsia"/>
            <w:noProof/>
            <w:webHidden/>
            <w:sz w:val="20"/>
          </w:rPr>
          <w:fldChar w:fldCharType="end"/>
        </w:r>
      </w:hyperlink>
    </w:p>
    <w:p w14:paraId="643A7B38"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904" w:history="1">
        <w:r w:rsidR="00D75768" w:rsidRPr="00A4590A">
          <w:rPr>
            <w:rStyle w:val="a9"/>
            <w:rFonts w:asciiTheme="minorEastAsia" w:eastAsiaTheme="minorEastAsia" w:hAnsiTheme="minorEastAsia" w:hint="eastAsia"/>
            <w:noProof/>
            <w:sz w:val="24"/>
            <w:szCs w:val="32"/>
          </w:rPr>
          <w:t>二十、其他事项</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_Toc124325904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29</w:t>
        </w:r>
        <w:r w:rsidR="00D75768" w:rsidRPr="00A4590A">
          <w:rPr>
            <w:rFonts w:asciiTheme="minorEastAsia" w:eastAsiaTheme="minorEastAsia" w:hAnsiTheme="minorEastAsia" w:hint="eastAsia"/>
            <w:noProof/>
            <w:webHidden/>
            <w:sz w:val="20"/>
          </w:rPr>
          <w:fldChar w:fldCharType="end"/>
        </w:r>
      </w:hyperlink>
    </w:p>
    <w:p w14:paraId="3296065C" w14:textId="77777777" w:rsidR="00D75768" w:rsidRPr="00A4590A" w:rsidRDefault="006A4F68" w:rsidP="00A4590A">
      <w:pPr>
        <w:pStyle w:val="21"/>
        <w:spacing w:line="360" w:lineRule="auto"/>
        <w:rPr>
          <w:rFonts w:asciiTheme="minorEastAsia" w:eastAsiaTheme="minorEastAsia" w:hAnsiTheme="minorEastAsia"/>
          <w:noProof/>
          <w:sz w:val="20"/>
        </w:rPr>
      </w:pPr>
      <w:hyperlink w:anchor="_Toc124325905" w:history="1">
        <w:r w:rsidR="00D75768" w:rsidRPr="00A4590A">
          <w:rPr>
            <w:rStyle w:val="a9"/>
            <w:rFonts w:asciiTheme="minorEastAsia" w:eastAsiaTheme="minorEastAsia" w:hAnsiTheme="minorEastAsia" w:hint="eastAsia"/>
            <w:noProof/>
            <w:sz w:val="24"/>
            <w:szCs w:val="32"/>
          </w:rPr>
          <w:t>二十一、托管协议的签订</w:t>
        </w:r>
        <w:r w:rsidR="00D75768" w:rsidRPr="00A4590A">
          <w:rPr>
            <w:rFonts w:asciiTheme="minorEastAsia" w:eastAsiaTheme="minorEastAsia" w:hAnsiTheme="minorEastAsia" w:hint="eastAsia"/>
            <w:noProof/>
            <w:webHidden/>
            <w:sz w:val="20"/>
          </w:rPr>
          <w:tab/>
        </w:r>
        <w:r w:rsidR="00D75768" w:rsidRPr="00A4590A">
          <w:rPr>
            <w:rFonts w:asciiTheme="minorEastAsia" w:eastAsiaTheme="minorEastAsia" w:hAnsiTheme="minorEastAsia" w:hint="eastAsia"/>
            <w:noProof/>
            <w:webHidden/>
            <w:sz w:val="20"/>
          </w:rPr>
          <w:fldChar w:fldCharType="begin"/>
        </w:r>
        <w:r w:rsidR="00D75768" w:rsidRPr="00A4590A">
          <w:rPr>
            <w:rFonts w:asciiTheme="minorEastAsia" w:eastAsiaTheme="minorEastAsia" w:hAnsiTheme="minorEastAsia" w:hint="eastAsia"/>
            <w:noProof/>
            <w:webHidden/>
            <w:sz w:val="20"/>
          </w:rPr>
          <w:instrText xml:space="preserve"> PAGEREF _Toc124325905 \h </w:instrText>
        </w:r>
        <w:r w:rsidR="00D75768" w:rsidRPr="00A4590A">
          <w:rPr>
            <w:rFonts w:asciiTheme="minorEastAsia" w:eastAsiaTheme="minorEastAsia" w:hAnsiTheme="minorEastAsia" w:hint="eastAsia"/>
            <w:noProof/>
            <w:webHidden/>
            <w:sz w:val="20"/>
          </w:rPr>
        </w:r>
        <w:r w:rsidR="00D75768" w:rsidRPr="00A4590A">
          <w:rPr>
            <w:rFonts w:asciiTheme="minorEastAsia" w:eastAsiaTheme="minorEastAsia" w:hAnsiTheme="minorEastAsia" w:hint="eastAsia"/>
            <w:noProof/>
            <w:webHidden/>
            <w:sz w:val="20"/>
          </w:rPr>
          <w:fldChar w:fldCharType="separate"/>
        </w:r>
        <w:r w:rsidR="00D75768" w:rsidRPr="00A4590A">
          <w:rPr>
            <w:rFonts w:asciiTheme="minorEastAsia" w:eastAsiaTheme="minorEastAsia" w:hAnsiTheme="minorEastAsia"/>
            <w:noProof/>
            <w:webHidden/>
            <w:sz w:val="20"/>
          </w:rPr>
          <w:t>29</w:t>
        </w:r>
        <w:r w:rsidR="00D75768" w:rsidRPr="00A4590A">
          <w:rPr>
            <w:rFonts w:asciiTheme="minorEastAsia" w:eastAsiaTheme="minorEastAsia" w:hAnsiTheme="minorEastAsia" w:hint="eastAsia"/>
            <w:noProof/>
            <w:webHidden/>
            <w:sz w:val="20"/>
          </w:rPr>
          <w:fldChar w:fldCharType="end"/>
        </w:r>
      </w:hyperlink>
    </w:p>
    <w:p w14:paraId="407ECA4B" w14:textId="77777777" w:rsidR="00D75768" w:rsidRPr="00A4590A" w:rsidRDefault="00D75768" w:rsidP="00A4590A">
      <w:pPr>
        <w:spacing w:line="360" w:lineRule="auto"/>
        <w:rPr>
          <w:rFonts w:asciiTheme="minorEastAsia" w:eastAsiaTheme="minorEastAsia" w:hAnsiTheme="minorEastAsia"/>
          <w:sz w:val="24"/>
        </w:rPr>
      </w:pPr>
      <w:r w:rsidRPr="00A4590A">
        <w:rPr>
          <w:rFonts w:asciiTheme="minorEastAsia" w:eastAsiaTheme="minorEastAsia" w:hAnsiTheme="minorEastAsia" w:hint="eastAsia"/>
          <w:sz w:val="24"/>
        </w:rPr>
        <w:fldChar w:fldCharType="end"/>
      </w:r>
    </w:p>
    <w:p w14:paraId="27BBB2F1" w14:textId="77777777" w:rsidR="00A4590A" w:rsidRDefault="00A4590A" w:rsidP="00A4590A">
      <w:pPr>
        <w:widowControl/>
        <w:adjustRightInd w:val="0"/>
        <w:snapToGrid w:val="0"/>
        <w:spacing w:line="360" w:lineRule="auto"/>
        <w:ind w:firstLineChars="200" w:firstLine="480"/>
        <w:rPr>
          <w:rFonts w:asciiTheme="minorEastAsia" w:eastAsiaTheme="minorEastAsia" w:hAnsiTheme="minorEastAsia" w:cs="Arial"/>
          <w:kern w:val="0"/>
          <w:sz w:val="24"/>
        </w:rPr>
        <w:sectPr w:rsidR="00A4590A">
          <w:headerReference w:type="default" r:id="rId8"/>
          <w:pgSz w:w="11906" w:h="16838" w:code="9"/>
          <w:pgMar w:top="1418" w:right="1701" w:bottom="1418" w:left="1701" w:header="851" w:footer="992" w:gutter="0"/>
          <w:cols w:space="425"/>
          <w:docGrid w:type="lines" w:linePitch="312"/>
        </w:sectPr>
      </w:pPr>
    </w:p>
    <w:p w14:paraId="5B23750A" w14:textId="246A93FA" w:rsidR="00D75768" w:rsidRPr="00A4590A" w:rsidRDefault="00D75768" w:rsidP="00A4590A">
      <w:pPr>
        <w:widowControl/>
        <w:adjustRightInd w:val="0"/>
        <w:snapToGrid w:val="0"/>
        <w:spacing w:line="360" w:lineRule="auto"/>
        <w:ind w:firstLineChars="200" w:firstLine="480"/>
        <w:rPr>
          <w:rFonts w:asciiTheme="minorEastAsia" w:eastAsiaTheme="minorEastAsia" w:hAnsiTheme="minorEastAsia" w:cs="Arial"/>
          <w:kern w:val="0"/>
          <w:sz w:val="24"/>
        </w:rPr>
      </w:pPr>
      <w:r w:rsidRPr="00A4590A">
        <w:rPr>
          <w:rFonts w:asciiTheme="minorEastAsia" w:eastAsiaTheme="minorEastAsia" w:hAnsiTheme="minorEastAsia" w:cs="Arial" w:hint="eastAsia"/>
          <w:kern w:val="0"/>
          <w:sz w:val="24"/>
        </w:rPr>
        <w:lastRenderedPageBreak/>
        <w:t>鉴于</w:t>
      </w:r>
      <w:proofErr w:type="gramStart"/>
      <w:r w:rsidRPr="00A4590A">
        <w:rPr>
          <w:rFonts w:asciiTheme="minorEastAsia" w:eastAsiaTheme="minorEastAsia" w:hAnsiTheme="minorEastAsia" w:cs="Arial" w:hint="eastAsia"/>
          <w:kern w:val="0"/>
          <w:sz w:val="24"/>
        </w:rPr>
        <w:t>汇添富基金</w:t>
      </w:r>
      <w:proofErr w:type="gramEnd"/>
      <w:r w:rsidRPr="00A4590A">
        <w:rPr>
          <w:rFonts w:asciiTheme="minorEastAsia" w:eastAsiaTheme="minorEastAsia" w:hAnsiTheme="minorEastAsia" w:cs="Arial" w:hint="eastAsia"/>
          <w:kern w:val="0"/>
          <w:sz w:val="24"/>
        </w:rPr>
        <w:t>管理股份有限公司系一家依照中国法律合法成立并有效存续的股份有限公司，按照相关法律法规的规定具备担任基金管理人的资格和能力，拟募集发行</w:t>
      </w:r>
      <w:proofErr w:type="gramStart"/>
      <w:r w:rsidRPr="00A4590A">
        <w:rPr>
          <w:rFonts w:asciiTheme="minorEastAsia" w:eastAsiaTheme="minorEastAsia" w:hAnsiTheme="minorEastAsia" w:cs="Arial" w:hint="eastAsia"/>
          <w:kern w:val="0"/>
          <w:sz w:val="24"/>
        </w:rPr>
        <w:t>汇添富</w:t>
      </w:r>
      <w:r w:rsidR="009B29A4" w:rsidRPr="00A4590A">
        <w:rPr>
          <w:rFonts w:asciiTheme="minorEastAsia" w:eastAsiaTheme="minorEastAsia" w:hAnsiTheme="minorEastAsia" w:cs="Arial" w:hint="eastAsia"/>
          <w:kern w:val="0"/>
          <w:sz w:val="24"/>
        </w:rPr>
        <w:t>悦享</w:t>
      </w:r>
      <w:proofErr w:type="gramEnd"/>
      <w:r w:rsidRPr="00A4590A">
        <w:rPr>
          <w:rFonts w:asciiTheme="minorEastAsia" w:eastAsiaTheme="minorEastAsia" w:hAnsiTheme="minorEastAsia" w:cs="Arial" w:hint="eastAsia"/>
          <w:kern w:val="0"/>
          <w:sz w:val="24"/>
        </w:rPr>
        <w:t>定期开放混合型证券投资基金；</w:t>
      </w:r>
    </w:p>
    <w:p w14:paraId="7A4DD9A5" w14:textId="77777777" w:rsidR="00D75768" w:rsidRPr="00A4590A" w:rsidRDefault="00D75768" w:rsidP="00A4590A">
      <w:pPr>
        <w:widowControl/>
        <w:adjustRightInd w:val="0"/>
        <w:snapToGrid w:val="0"/>
        <w:spacing w:line="360" w:lineRule="auto"/>
        <w:ind w:firstLineChars="200" w:firstLine="480"/>
        <w:rPr>
          <w:rFonts w:asciiTheme="minorEastAsia" w:eastAsiaTheme="minorEastAsia" w:hAnsiTheme="minorEastAsia" w:cs="Arial"/>
          <w:kern w:val="0"/>
          <w:sz w:val="24"/>
        </w:rPr>
      </w:pPr>
      <w:r w:rsidRPr="00A4590A">
        <w:rPr>
          <w:rFonts w:asciiTheme="minorEastAsia" w:eastAsia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14:paraId="17A3870E" w14:textId="77777777" w:rsidR="00D75768" w:rsidRPr="00A4590A" w:rsidRDefault="00D75768" w:rsidP="00A4590A">
      <w:pPr>
        <w:widowControl/>
        <w:adjustRightInd w:val="0"/>
        <w:snapToGrid w:val="0"/>
        <w:spacing w:line="360" w:lineRule="auto"/>
        <w:ind w:firstLineChars="200" w:firstLine="480"/>
        <w:rPr>
          <w:rFonts w:asciiTheme="minorEastAsia" w:eastAsiaTheme="minorEastAsia" w:hAnsiTheme="minorEastAsia" w:cs="Arial"/>
          <w:kern w:val="0"/>
          <w:sz w:val="24"/>
        </w:rPr>
      </w:pPr>
      <w:r w:rsidRPr="00A4590A">
        <w:rPr>
          <w:rFonts w:asciiTheme="minorEastAsia" w:eastAsiaTheme="minorEastAsia" w:hAnsiTheme="minorEastAsia" w:cs="Arial" w:hint="eastAsia"/>
          <w:kern w:val="0"/>
          <w:sz w:val="24"/>
        </w:rPr>
        <w:t>鉴于</w:t>
      </w:r>
      <w:proofErr w:type="gramStart"/>
      <w:r w:rsidRPr="00A4590A">
        <w:rPr>
          <w:rFonts w:asciiTheme="minorEastAsia" w:eastAsiaTheme="minorEastAsia" w:hAnsiTheme="minorEastAsia" w:cs="Arial" w:hint="eastAsia"/>
          <w:kern w:val="0"/>
          <w:sz w:val="24"/>
        </w:rPr>
        <w:t>汇添富基金</w:t>
      </w:r>
      <w:proofErr w:type="gramEnd"/>
      <w:r w:rsidRPr="00A4590A">
        <w:rPr>
          <w:rFonts w:asciiTheme="minorEastAsia" w:eastAsiaTheme="minorEastAsia" w:hAnsiTheme="minorEastAsia" w:cs="Arial" w:hint="eastAsia"/>
          <w:kern w:val="0"/>
          <w:sz w:val="24"/>
        </w:rPr>
        <w:t>管理股份有限公司拟担任证券投资基金的基金管理人，中国建设银行股份有限公司拟担任证券投资基金的基金托管人；</w:t>
      </w:r>
    </w:p>
    <w:p w14:paraId="7780DE27" w14:textId="4B6F975D" w:rsidR="00D75768" w:rsidRPr="00A4590A" w:rsidRDefault="00D75768" w:rsidP="00A4590A">
      <w:pPr>
        <w:widowControl/>
        <w:adjustRightInd w:val="0"/>
        <w:snapToGrid w:val="0"/>
        <w:spacing w:line="360" w:lineRule="auto"/>
        <w:ind w:firstLineChars="200" w:firstLine="480"/>
        <w:rPr>
          <w:rFonts w:asciiTheme="minorEastAsia" w:eastAsiaTheme="minorEastAsia" w:hAnsiTheme="minorEastAsia" w:cs="Arial"/>
          <w:kern w:val="0"/>
          <w:sz w:val="24"/>
        </w:rPr>
      </w:pPr>
      <w:r w:rsidRPr="00A4590A">
        <w:rPr>
          <w:rFonts w:asciiTheme="minorEastAsia" w:eastAsiaTheme="minorEastAsia" w:hAnsiTheme="minorEastAsia" w:cs="Arial" w:hint="eastAsia"/>
          <w:kern w:val="0"/>
          <w:sz w:val="24"/>
        </w:rPr>
        <w:t>为</w:t>
      </w:r>
      <w:proofErr w:type="gramStart"/>
      <w:r w:rsidRPr="00A4590A">
        <w:rPr>
          <w:rFonts w:asciiTheme="minorEastAsia" w:eastAsiaTheme="minorEastAsia" w:hAnsiTheme="minorEastAsia" w:cs="Arial" w:hint="eastAsia"/>
          <w:kern w:val="0"/>
          <w:sz w:val="24"/>
        </w:rPr>
        <w:t>明确汇添富</w:t>
      </w:r>
      <w:r w:rsidR="009B29A4" w:rsidRPr="00A4590A">
        <w:rPr>
          <w:rFonts w:asciiTheme="minorEastAsia" w:eastAsiaTheme="minorEastAsia" w:hAnsiTheme="minorEastAsia" w:cs="Arial" w:hint="eastAsia"/>
          <w:kern w:val="0"/>
          <w:sz w:val="24"/>
        </w:rPr>
        <w:t>悦享</w:t>
      </w:r>
      <w:proofErr w:type="gramEnd"/>
      <w:r w:rsidRPr="00A4590A">
        <w:rPr>
          <w:rFonts w:asciiTheme="minorEastAsia" w:eastAsiaTheme="minorEastAsia" w:hAnsiTheme="minorEastAsia" w:cs="Arial" w:hint="eastAsia"/>
          <w:kern w:val="0"/>
          <w:sz w:val="24"/>
        </w:rPr>
        <w:t>定期开放混合型证券投资基金的基金管理人和基金托管人之间的权利义务关系，特制订本托管协议；</w:t>
      </w:r>
    </w:p>
    <w:p w14:paraId="25D7759B" w14:textId="3233524B" w:rsidR="00D75768" w:rsidRPr="00A4590A" w:rsidRDefault="00D75768" w:rsidP="00A4590A">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4590A">
        <w:rPr>
          <w:rFonts w:asciiTheme="minorEastAsia" w:eastAsiaTheme="minorEastAsia" w:hAnsiTheme="minorEastAsia" w:cs="Arial" w:hint="eastAsia"/>
          <w:kern w:val="0"/>
          <w:sz w:val="24"/>
          <w:lang w:val="en-GB"/>
        </w:rPr>
        <w:t>除非另有约定，《汇添富</w:t>
      </w:r>
      <w:r w:rsidR="009B29A4" w:rsidRPr="00A4590A">
        <w:rPr>
          <w:rFonts w:asciiTheme="minorEastAsia" w:eastAsiaTheme="minorEastAsia" w:hAnsiTheme="minorEastAsia" w:cs="Arial" w:hint="eastAsia"/>
          <w:kern w:val="0"/>
          <w:sz w:val="24"/>
          <w:lang w:val="en-GB"/>
        </w:rPr>
        <w:t>悦享</w:t>
      </w:r>
      <w:r w:rsidRPr="00A4590A">
        <w:rPr>
          <w:rFonts w:asciiTheme="minorEastAsia" w:eastAsiaTheme="minorEastAsia" w:hAnsiTheme="minorEastAsia" w:cs="Arial" w:hint="eastAsia"/>
          <w:kern w:val="0"/>
          <w:sz w:val="24"/>
          <w:lang w:val="en-GB"/>
        </w:rPr>
        <w:t>定期开放混合型证券投资基金基金合同》(以下简称“基金合同”)中定义的术语在用于本托管协议时应具有相同的含义；若有抵触应以《基金合同》为准，并依其</w:t>
      </w:r>
      <w:r w:rsidRPr="00A4590A">
        <w:rPr>
          <w:rFonts w:asciiTheme="minorEastAsia" w:eastAsiaTheme="minorEastAsia" w:hAnsiTheme="minorEastAsia" w:cs="Arial" w:hint="eastAsia"/>
          <w:kern w:val="0"/>
          <w:sz w:val="24"/>
        </w:rPr>
        <w:t>条款</w:t>
      </w:r>
      <w:r w:rsidRPr="00A4590A">
        <w:rPr>
          <w:rFonts w:asciiTheme="minorEastAsia" w:eastAsiaTheme="minorEastAsia" w:hAnsiTheme="minorEastAsia" w:cs="Arial" w:hint="eastAsia"/>
          <w:kern w:val="0"/>
          <w:sz w:val="24"/>
          <w:lang w:val="en-GB"/>
        </w:rPr>
        <w:t>解释。</w:t>
      </w:r>
    </w:p>
    <w:p w14:paraId="55C78377" w14:textId="77777777" w:rsidR="00D75768" w:rsidRPr="00A4590A" w:rsidRDefault="00D75768" w:rsidP="00A4590A">
      <w:pPr>
        <w:spacing w:line="360" w:lineRule="auto"/>
        <w:rPr>
          <w:rFonts w:asciiTheme="minorEastAsia" w:eastAsiaTheme="minorEastAsia" w:hAnsiTheme="minorEastAsia"/>
          <w:sz w:val="24"/>
          <w:lang w:val="en-GB"/>
        </w:rPr>
      </w:pPr>
    </w:p>
    <w:p w14:paraId="620B42FF" w14:textId="77777777" w:rsidR="00D75768" w:rsidRPr="00A4590A" w:rsidRDefault="00D75768" w:rsidP="00A4590A">
      <w:pPr>
        <w:pStyle w:val="2"/>
        <w:spacing w:line="360" w:lineRule="auto"/>
        <w:jc w:val="center"/>
        <w:rPr>
          <w:rFonts w:asciiTheme="minorEastAsia" w:eastAsiaTheme="minorEastAsia" w:hAnsiTheme="minorEastAsia"/>
        </w:rPr>
      </w:pPr>
      <w:bookmarkStart w:id="1" w:name="_Toc124325885"/>
      <w:r w:rsidRPr="00A4590A">
        <w:rPr>
          <w:rFonts w:asciiTheme="minorEastAsia" w:eastAsiaTheme="minorEastAsia" w:hAnsiTheme="minorEastAsia" w:hint="eastAsia"/>
        </w:rPr>
        <w:t>一、基金托管协议当事人</w:t>
      </w:r>
      <w:bookmarkEnd w:id="1"/>
    </w:p>
    <w:p w14:paraId="65161783"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（一）基金管理人</w:t>
      </w:r>
    </w:p>
    <w:p w14:paraId="71B1A7CB"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名称：</w:t>
      </w:r>
      <w:proofErr w:type="gramStart"/>
      <w:r w:rsidRPr="00A4590A">
        <w:rPr>
          <w:rFonts w:asciiTheme="minorEastAsia" w:eastAsiaTheme="minorEastAsia" w:hAnsiTheme="minorEastAsia" w:cs="Arial" w:hint="eastAsia"/>
          <w:sz w:val="24"/>
        </w:rPr>
        <w:t>汇添富基金</w:t>
      </w:r>
      <w:proofErr w:type="gramEnd"/>
      <w:r w:rsidRPr="00A4590A">
        <w:rPr>
          <w:rFonts w:asciiTheme="minorEastAsia" w:eastAsiaTheme="minorEastAsia" w:hAnsiTheme="minorEastAsia" w:cs="Arial" w:hint="eastAsia"/>
          <w:sz w:val="24"/>
        </w:rPr>
        <w:t>管理股份有限公司</w:t>
      </w:r>
    </w:p>
    <w:p w14:paraId="477F05CA"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 xml:space="preserve">住所：上海市黄浦区北京东路666号H区（东座）6楼H686室 </w:t>
      </w:r>
    </w:p>
    <w:p w14:paraId="6F0DF7B6"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办公地址：上海市富城路99号震旦国际大楼20楼</w:t>
      </w:r>
    </w:p>
    <w:p w14:paraId="05E4FF73"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法定代表人：李文</w:t>
      </w:r>
    </w:p>
    <w:p w14:paraId="3D289BD8"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成立时间：2005年2月3日</w:t>
      </w:r>
    </w:p>
    <w:p w14:paraId="59EF88BB"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批准设立机关及批准设立文号：中国证监会证</w:t>
      </w:r>
      <w:proofErr w:type="gramStart"/>
      <w:r w:rsidRPr="00A4590A">
        <w:rPr>
          <w:rFonts w:asciiTheme="minorEastAsia" w:eastAsiaTheme="minorEastAsia" w:hAnsiTheme="minorEastAsia" w:cs="Arial" w:hint="eastAsia"/>
          <w:sz w:val="24"/>
        </w:rPr>
        <w:t>监基金字</w:t>
      </w:r>
      <w:proofErr w:type="gramEnd"/>
      <w:r w:rsidRPr="00A4590A">
        <w:rPr>
          <w:rFonts w:asciiTheme="minorEastAsia" w:eastAsiaTheme="minorEastAsia" w:hAnsiTheme="minorEastAsia" w:cs="Arial" w:hint="eastAsia"/>
          <w:sz w:val="24"/>
        </w:rPr>
        <w:t>[2005]5号</w:t>
      </w:r>
    </w:p>
    <w:p w14:paraId="555D50EA"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注册资本：人民币132,724,224元</w:t>
      </w:r>
    </w:p>
    <w:p w14:paraId="77F5F8D2"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组织形式:：股份有限公司（非上市）</w:t>
      </w:r>
    </w:p>
    <w:p w14:paraId="32578BFF"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 xml:space="preserve">经营范围：基金募集、基金销售、特定客户资产管理、资产管理和中国证监会许可的其他业务。 </w:t>
      </w:r>
    </w:p>
    <w:p w14:paraId="63A28B47"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存续期间：持续经营</w:t>
      </w:r>
    </w:p>
    <w:p w14:paraId="6DC6143B"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电话：（021）28932888</w:t>
      </w:r>
    </w:p>
    <w:p w14:paraId="63031BC9" w14:textId="77777777" w:rsidR="00507D25"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传真：（021）28932998</w:t>
      </w:r>
    </w:p>
    <w:p w14:paraId="5418D078" w14:textId="094DCDB5" w:rsidR="00D75768" w:rsidRPr="00A4590A" w:rsidRDefault="00507D25"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lastRenderedPageBreak/>
        <w:t>联系人：李鹏</w:t>
      </w:r>
    </w:p>
    <w:p w14:paraId="5702704C"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（二）基金托管人</w:t>
      </w:r>
    </w:p>
    <w:p w14:paraId="139AF23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名称：中国建设银行股份有限公司(简称：中国建设银行)</w:t>
      </w:r>
    </w:p>
    <w:p w14:paraId="3A4C1E2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住所：北京市西城区金融大街25号</w:t>
      </w:r>
    </w:p>
    <w:p w14:paraId="152E5C2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办公地址：北京市西城区闹市口大街1号院1号楼</w:t>
      </w:r>
    </w:p>
    <w:p w14:paraId="2E92C3D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邮政编码：100033</w:t>
      </w:r>
    </w:p>
    <w:p w14:paraId="4F6F463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法定代表人：田国立</w:t>
      </w:r>
      <w:r w:rsidRPr="00A4590A" w:rsidDel="00D71685">
        <w:rPr>
          <w:rFonts w:asciiTheme="minorEastAsia" w:eastAsiaTheme="minorEastAsia" w:hAnsiTheme="minorEastAsia" w:cs="Arial" w:hint="eastAsia"/>
          <w:sz w:val="24"/>
        </w:rPr>
        <w:t xml:space="preserve"> </w:t>
      </w:r>
    </w:p>
    <w:p w14:paraId="7AE4F67A"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A4590A">
          <w:rPr>
            <w:rFonts w:asciiTheme="minorEastAsia" w:eastAsiaTheme="minorEastAsia" w:hAnsiTheme="minorEastAsia" w:cs="Arial" w:hint="eastAsia"/>
            <w:sz w:val="24"/>
          </w:rPr>
          <w:t>2004年09月17日</w:t>
        </w:r>
      </w:smartTag>
    </w:p>
    <w:p w14:paraId="3CD0B25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基金托管业务批准文号：中国证监会证监基字[1998</w:t>
      </w:r>
      <w:bookmarkStart w:id="2" w:name="OLE_LINK3"/>
      <w:r w:rsidRPr="00A4590A">
        <w:rPr>
          <w:rFonts w:asciiTheme="minorEastAsia" w:eastAsiaTheme="minorEastAsia" w:hAnsiTheme="minorEastAsia" w:cs="Arial" w:hint="eastAsia"/>
          <w:sz w:val="24"/>
        </w:rPr>
        <w:t>]</w:t>
      </w:r>
      <w:bookmarkEnd w:id="2"/>
      <w:r w:rsidRPr="00A4590A">
        <w:rPr>
          <w:rFonts w:asciiTheme="minorEastAsia" w:eastAsiaTheme="minorEastAsia" w:hAnsiTheme="minorEastAsia" w:cs="Arial" w:hint="eastAsia"/>
          <w:sz w:val="24"/>
        </w:rPr>
        <w:t>12号</w:t>
      </w:r>
    </w:p>
    <w:p w14:paraId="2D575FF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组织形式：股份有限公司</w:t>
      </w:r>
    </w:p>
    <w:p w14:paraId="0C0A74A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注册资本：</w:t>
      </w:r>
      <w:r w:rsidRPr="00A4590A">
        <w:rPr>
          <w:rFonts w:asciiTheme="minorEastAsia" w:eastAsiaTheme="minorEastAsia" w:hAnsiTheme="minorEastAsia" w:hint="eastAsia"/>
          <w:sz w:val="24"/>
        </w:rPr>
        <w:t>贰仟伍佰亿壹仟零玖拾柒万柒仟肆佰捌拾陆元整</w:t>
      </w:r>
    </w:p>
    <w:p w14:paraId="082B162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存续期间：持续经营</w:t>
      </w:r>
    </w:p>
    <w:p w14:paraId="77FD6899" w14:textId="77777777" w:rsidR="00D75768" w:rsidRPr="00A4590A" w:rsidRDefault="00D75768" w:rsidP="00A4590A">
      <w:pPr>
        <w:tabs>
          <w:tab w:val="left" w:pos="540"/>
        </w:tabs>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4FA2A9A5" w14:textId="77777777" w:rsidR="00D75768" w:rsidRPr="00A4590A" w:rsidRDefault="00D75768" w:rsidP="00A4590A">
      <w:pPr>
        <w:spacing w:line="360" w:lineRule="auto"/>
        <w:rPr>
          <w:rFonts w:asciiTheme="minorEastAsia" w:eastAsiaTheme="minorEastAsia" w:hAnsiTheme="minorEastAsia"/>
          <w:sz w:val="24"/>
        </w:rPr>
      </w:pPr>
    </w:p>
    <w:p w14:paraId="2E5306B8"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3" w:name="_Toc124325886"/>
      <w:r w:rsidRPr="00A4590A">
        <w:rPr>
          <w:rFonts w:asciiTheme="minorEastAsia" w:eastAsiaTheme="minorEastAsia" w:hAnsiTheme="minorEastAsia" w:hint="eastAsia"/>
          <w:sz w:val="30"/>
        </w:rPr>
        <w:t>二、基金托管协议的依据、目的和原则</w:t>
      </w:r>
      <w:bookmarkEnd w:id="3"/>
    </w:p>
    <w:p w14:paraId="42358A4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szCs w:val="30"/>
        </w:rPr>
      </w:pPr>
      <w:r w:rsidRPr="00A4590A">
        <w:rPr>
          <w:rFonts w:asciiTheme="minorEastAsia" w:eastAsiaTheme="minorEastAsia" w:hAnsiTheme="minorEastAsia" w:cs="Arial" w:hint="eastAsia"/>
          <w:sz w:val="24"/>
        </w:rPr>
        <w:t>（一）订立托管协议的依据</w:t>
      </w:r>
    </w:p>
    <w:p w14:paraId="1B06799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本协议依据《中华人民共和国证券投资基金法》(以下简称“《基金法》”)等有关法律法规、《基金合同》及其他有关规定制订。</w:t>
      </w:r>
    </w:p>
    <w:p w14:paraId="62729D3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（二）订立托管协议的目的</w:t>
      </w:r>
    </w:p>
    <w:p w14:paraId="62065C9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szCs w:val="30"/>
        </w:rPr>
      </w:pPr>
      <w:r w:rsidRPr="00A4590A">
        <w:rPr>
          <w:rFonts w:asciiTheme="minorEastAsia" w:eastAsia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1BC2C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（三）订立托管协议的原则</w:t>
      </w:r>
    </w:p>
    <w:p w14:paraId="290B708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基金管理人和基金托管人本着平等自愿、诚实信用、充分保护基金份额持有人</w:t>
      </w:r>
      <w:r w:rsidRPr="00A4590A">
        <w:rPr>
          <w:rFonts w:asciiTheme="minorEastAsia" w:eastAsiaTheme="minorEastAsia" w:hAnsiTheme="minorEastAsia" w:cs="Arial" w:hint="eastAsia"/>
          <w:sz w:val="24"/>
        </w:rPr>
        <w:lastRenderedPageBreak/>
        <w:t>合法权益的原则，经协商一致，签订本协议。</w:t>
      </w:r>
    </w:p>
    <w:p w14:paraId="36E7F183" w14:textId="77777777" w:rsidR="00D75768" w:rsidRPr="00A4590A" w:rsidRDefault="00D75768" w:rsidP="00A4590A">
      <w:pPr>
        <w:spacing w:line="360" w:lineRule="auto"/>
        <w:rPr>
          <w:rFonts w:asciiTheme="minorEastAsia" w:eastAsiaTheme="minorEastAsia" w:hAnsiTheme="minorEastAsia"/>
          <w:sz w:val="24"/>
        </w:rPr>
      </w:pPr>
    </w:p>
    <w:p w14:paraId="7B28F099" w14:textId="77777777" w:rsidR="00D75768" w:rsidRPr="00A4590A" w:rsidRDefault="00D75768" w:rsidP="00A4590A">
      <w:pPr>
        <w:pStyle w:val="2"/>
        <w:spacing w:line="360" w:lineRule="auto"/>
        <w:jc w:val="center"/>
        <w:rPr>
          <w:rFonts w:asciiTheme="minorEastAsia" w:eastAsiaTheme="minorEastAsia" w:hAnsiTheme="minorEastAsia"/>
          <w:sz w:val="30"/>
          <w:szCs w:val="24"/>
        </w:rPr>
      </w:pPr>
      <w:bookmarkStart w:id="4" w:name="_Toc124325887"/>
      <w:r w:rsidRPr="00A4590A">
        <w:rPr>
          <w:rFonts w:asciiTheme="minorEastAsia" w:eastAsiaTheme="minorEastAsia" w:hAnsiTheme="minorEastAsia" w:hint="eastAsia"/>
          <w:sz w:val="30"/>
        </w:rPr>
        <w:t>三、基金托管人对基金管理人的业务监督和核查</w:t>
      </w:r>
      <w:bookmarkEnd w:id="4"/>
    </w:p>
    <w:p w14:paraId="6CA31EC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8DFD80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szCs w:val="30"/>
        </w:rPr>
      </w:pPr>
      <w:r w:rsidRPr="00A4590A">
        <w:rPr>
          <w:rFonts w:asciiTheme="minorEastAsia" w:eastAsiaTheme="minorEastAsia" w:hAnsiTheme="minorEastAsia" w:hint="eastAsia"/>
          <w:sz w:val="24"/>
          <w:szCs w:val="30"/>
        </w:rPr>
        <w:t>本基金的投资范围为具有良好流动性的金融工具，包括国内依法发行上市的股票（含中小板、创业板及其他经中国证监会核准上市的股票）、港股通标的股票、债券（包括国债、央行票据、金融债券、企业债券、公司债券、中期票据、短期融资券、超短期融资券、次级债券、政府支持债券、政府支持机构债券、地方政府债券、可交换债券、中小企业私募债券、可转换债券（含分离交易可转债）及其他经中国证监会允许投资的债券或票据）、资产支持证券、债券回购、同业存单、银行存款（包含协议存款、定期存款及其他银行存款）、货币市场工具、权证、股指期货、股票期权、国债期货以及法律法规或中国证监会允许基金投资的其他金融工具（但须符合中国证监会相关规定）。</w:t>
      </w:r>
    </w:p>
    <w:p w14:paraId="4E6EB55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szCs w:val="30"/>
        </w:rPr>
      </w:pPr>
      <w:r w:rsidRPr="00A4590A">
        <w:rPr>
          <w:rFonts w:asciiTheme="minorEastAsia" w:eastAsiaTheme="minorEastAsia" w:hAnsiTheme="minorEastAsia" w:hint="eastAsia"/>
          <w:sz w:val="24"/>
          <w:szCs w:val="30"/>
        </w:rPr>
        <w:t>如法律法规或监管机构以后允许基金投资其他品种，基金管理人在履行适当程序后，可以将其纳入投资范围。</w:t>
      </w:r>
    </w:p>
    <w:p w14:paraId="082FCB09" w14:textId="21D8C30A"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szCs w:val="30"/>
        </w:rPr>
      </w:pPr>
      <w:r w:rsidRPr="00A4590A">
        <w:rPr>
          <w:rFonts w:asciiTheme="minorEastAsia" w:eastAsiaTheme="minorEastAsia" w:hAnsiTheme="minorEastAsia" w:hint="eastAsia"/>
          <w:sz w:val="24"/>
          <w:szCs w:val="30"/>
        </w:rPr>
        <w:t>基金的投资组合比例为：封闭期内，本基金投资于股票资产占基金资产的比例不低于60%（其中投资于港股通标的股票占股票资产的比例不超过50%）；每次开放期前三个月、开放期及开放期结束后三个月的期间内，本基金</w:t>
      </w:r>
      <w:r w:rsidR="00C52BD5" w:rsidRPr="00A4590A">
        <w:rPr>
          <w:rFonts w:asciiTheme="minorEastAsia" w:eastAsiaTheme="minorEastAsia" w:hAnsiTheme="minorEastAsia" w:hint="eastAsia"/>
          <w:sz w:val="24"/>
          <w:szCs w:val="30"/>
        </w:rPr>
        <w:t>仍需遵守投资于港股通标的股票占股票资产的比例不超过50%的比例限制，其余的投资比例</w:t>
      </w:r>
      <w:r w:rsidRPr="00A4590A">
        <w:rPr>
          <w:rFonts w:asciiTheme="minorEastAsia" w:eastAsiaTheme="minorEastAsia" w:hAnsiTheme="minorEastAsia" w:hint="eastAsia"/>
          <w:sz w:val="24"/>
          <w:szCs w:val="30"/>
        </w:rPr>
        <w:t>不受上述比例限制。开放期内，每个交易日日终，在扣除股指期货、国债期货和股票期权合约需缴纳的交易保证金后，本基金持有的现金或到期日在一年以内的政府债券的比例合计不低于基金资产净值的5%；封闭期内，本基金持有现金或者到期日在一年以内的政府债券占基金资产净值的比例不受上述限制，但每个交易日日终扣除股指期货、国债期货和股票期权合约需缴纳的交易保证金后，应当保持不低于交易</w:t>
      </w:r>
      <w:r w:rsidRPr="00A4590A">
        <w:rPr>
          <w:rFonts w:asciiTheme="minorEastAsia" w:eastAsiaTheme="minorEastAsia" w:hAnsiTheme="minorEastAsia" w:hint="eastAsia"/>
          <w:sz w:val="24"/>
          <w:szCs w:val="30"/>
        </w:rPr>
        <w:lastRenderedPageBreak/>
        <w:t>保证金一倍的现金，本基金所指的现金不包括结算备付金、存出保证金、应收申购款等。</w:t>
      </w:r>
    </w:p>
    <w:p w14:paraId="2C8CD87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（二）基金托管人根据有关法律法规的规定及《基金合同》的约定，对基金投资、融资比例进行监督。基金托管人按下述比例和调整期限进行监督：</w:t>
      </w:r>
    </w:p>
    <w:p w14:paraId="3259DA13" w14:textId="6D28D9D4"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sz w:val="24"/>
        </w:rPr>
        <w:t>1.</w:t>
      </w:r>
      <w:r w:rsidRPr="00A4590A">
        <w:rPr>
          <w:rFonts w:asciiTheme="minorEastAsia" w:eastAsiaTheme="minorEastAsia" w:hAnsiTheme="minorEastAsia" w:hint="eastAsia"/>
        </w:rPr>
        <w:t xml:space="preserve"> </w:t>
      </w:r>
      <w:r w:rsidRPr="00A4590A">
        <w:rPr>
          <w:rFonts w:asciiTheme="minorEastAsia" w:eastAsiaTheme="minorEastAsia" w:hAnsiTheme="minorEastAsia" w:hint="eastAsia"/>
          <w:sz w:val="24"/>
        </w:rPr>
        <w:t>封闭期内，本基金投资于股票资产占基金资产的比例不低于60%（其中投资于港股通标的股票占股票资产的比例不超过50%）；每次开放期前三个月、开放期及开放期结束后三个月的期间内，</w:t>
      </w:r>
      <w:r w:rsidR="00275C35" w:rsidRPr="00A4590A">
        <w:rPr>
          <w:rFonts w:asciiTheme="minorEastAsia" w:eastAsiaTheme="minorEastAsia" w:hAnsiTheme="minorEastAsia" w:hint="eastAsia"/>
          <w:sz w:val="24"/>
        </w:rPr>
        <w:t>本基金仍需遵守投资于港股通标的股票占股票资产的比例不超过50%的比例限制，其余的投资比例不受上述比例限制</w:t>
      </w:r>
      <w:r w:rsidRPr="00A4590A">
        <w:rPr>
          <w:rFonts w:asciiTheme="minorEastAsia" w:eastAsiaTheme="minorEastAsia" w:hAnsiTheme="minorEastAsia" w:hint="eastAsia"/>
          <w:sz w:val="24"/>
        </w:rPr>
        <w:t>；</w:t>
      </w:r>
    </w:p>
    <w:p w14:paraId="3C0FDA41"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2.</w:t>
      </w:r>
      <w:r w:rsidRPr="00A4590A">
        <w:rPr>
          <w:rFonts w:asciiTheme="minorEastAsia" w:eastAsiaTheme="minorEastAsia" w:hAnsiTheme="minorEastAsia" w:hint="eastAsia"/>
        </w:rPr>
        <w:t xml:space="preserve"> </w:t>
      </w:r>
      <w:r w:rsidRPr="00A4590A">
        <w:rPr>
          <w:rFonts w:asciiTheme="minorEastAsia" w:eastAsiaTheme="minorEastAsia" w:hAnsiTheme="minorEastAsia" w:hint="eastAsia"/>
          <w:sz w:val="24"/>
        </w:rPr>
        <w:t>开放期内，每个交易日日终，在扣除股指期货、国债期货和股票期权合约需缴纳的交易保证金后，本基金持有的现金或到期日在一年以内的政府债券的比例合计不低于基金资产净值的5%；封闭期内，持有现金或者到期日在一年以内的政府债券占基金资产净值的比例不受上述限制，但每个交易日日终在扣除股指期货、国债期货和股票期权合约需缴纳的交易保证金后，应当保持不低于交易保证金一倍的现金，本基金所指的现金不包括结算备付金、存出保证金、应收申购款等；</w:t>
      </w:r>
    </w:p>
    <w:p w14:paraId="4734B0C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3.本基金持有一家公司发行的证券（同一家公司在境内和香港同时上市的A+H股合计计算），其市值不超过基金资产净值的10％；</w:t>
      </w:r>
    </w:p>
    <w:p w14:paraId="4B6F835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4．本基金管理人管理且由本基金托管人托管的全部基金持有一家公司发行的证券（同一家公司在境内和香港同时上市的A+H股合并计算），不超过该证券的10％；</w:t>
      </w:r>
    </w:p>
    <w:p w14:paraId="100F46E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sz w:val="24"/>
        </w:rPr>
        <w:t>5</w:t>
      </w:r>
      <w:r w:rsidRPr="00A4590A">
        <w:rPr>
          <w:rFonts w:asciiTheme="minorEastAsia" w:eastAsiaTheme="minorEastAsia" w:hAnsiTheme="minorEastAsia" w:hint="eastAsia"/>
          <w:sz w:val="24"/>
        </w:rPr>
        <w:t>.本基金持有的全部权证，其市值不得超过基金资产净值的3％；</w:t>
      </w:r>
    </w:p>
    <w:p w14:paraId="3520B82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sz w:val="24"/>
        </w:rPr>
        <w:t>6.</w:t>
      </w:r>
      <w:r w:rsidRPr="00A4590A">
        <w:rPr>
          <w:rFonts w:asciiTheme="minorEastAsia" w:eastAsiaTheme="minorEastAsia" w:hAnsiTheme="minorEastAsia" w:hint="eastAsia"/>
        </w:rPr>
        <w:t xml:space="preserve"> </w:t>
      </w:r>
      <w:r w:rsidRPr="00A4590A">
        <w:rPr>
          <w:rFonts w:asciiTheme="minorEastAsia" w:eastAsiaTheme="minorEastAsia" w:hAnsiTheme="minorEastAsia" w:hint="eastAsia"/>
          <w:sz w:val="24"/>
        </w:rPr>
        <w:t>本基金管理人管理且由本基金托管人托管的全部基金持有的同一权证，不得超过该权证的10％；</w:t>
      </w:r>
    </w:p>
    <w:p w14:paraId="4345AA0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sz w:val="24"/>
        </w:rPr>
        <w:t>7</w:t>
      </w:r>
      <w:r w:rsidRPr="00A4590A">
        <w:rPr>
          <w:rFonts w:asciiTheme="minorEastAsia" w:eastAsiaTheme="minorEastAsia" w:hAnsiTheme="minorEastAsia" w:hint="eastAsia"/>
          <w:sz w:val="24"/>
        </w:rPr>
        <w:t>.本基金在任何交易日买入权证的总金额，不得超过上一交易日基金资产净值的0.5％；</w:t>
      </w:r>
    </w:p>
    <w:p w14:paraId="6297A92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sz w:val="24"/>
        </w:rPr>
        <w:t>8</w:t>
      </w:r>
      <w:r w:rsidRPr="00A4590A">
        <w:rPr>
          <w:rFonts w:asciiTheme="minorEastAsia" w:eastAsiaTheme="minorEastAsia" w:hAnsiTheme="minorEastAsia" w:hint="eastAsia"/>
          <w:sz w:val="24"/>
        </w:rPr>
        <w:t>.本基金投资于同一原始权益人的各类资产支持证券的比例，不得超过基金资产净值的10％；</w:t>
      </w:r>
    </w:p>
    <w:p w14:paraId="6F4201C1"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sz w:val="24"/>
        </w:rPr>
        <w:t>9</w:t>
      </w:r>
      <w:r w:rsidRPr="00A4590A">
        <w:rPr>
          <w:rFonts w:asciiTheme="minorEastAsia" w:eastAsiaTheme="minorEastAsia" w:hAnsiTheme="minorEastAsia" w:hint="eastAsia"/>
          <w:sz w:val="24"/>
        </w:rPr>
        <w:t>.本基金持有的全部资产支持证券，其市值不得超过基金资产净值的20％；</w:t>
      </w:r>
    </w:p>
    <w:p w14:paraId="524A443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sz w:val="24"/>
        </w:rPr>
        <w:t>10</w:t>
      </w:r>
      <w:r w:rsidRPr="00A4590A">
        <w:rPr>
          <w:rFonts w:asciiTheme="minorEastAsia" w:eastAsiaTheme="minorEastAsia" w:hAnsiTheme="minorEastAsia" w:hint="eastAsia"/>
          <w:sz w:val="24"/>
        </w:rPr>
        <w:t>.本基金持有的同一(指同一信用级别)资产支持证券的比例，不得超过该资产支持证券规模的10％；</w:t>
      </w:r>
    </w:p>
    <w:p w14:paraId="062802F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sz w:val="24"/>
        </w:rPr>
        <w:t>11</w:t>
      </w:r>
      <w:r w:rsidRPr="00A4590A">
        <w:rPr>
          <w:rFonts w:asciiTheme="minorEastAsia" w:eastAsiaTheme="minorEastAsia" w:hAnsiTheme="minorEastAsia" w:hint="eastAsia"/>
          <w:sz w:val="24"/>
        </w:rPr>
        <w:t>．本基金管理人管理且由本基金托管人托管的全部基金投资于同一原始权</w:t>
      </w:r>
      <w:r w:rsidRPr="00A4590A">
        <w:rPr>
          <w:rFonts w:asciiTheme="minorEastAsia" w:eastAsiaTheme="minorEastAsia" w:hAnsiTheme="minorEastAsia" w:hint="eastAsia"/>
          <w:sz w:val="24"/>
        </w:rPr>
        <w:lastRenderedPageBreak/>
        <w:t>益人的各类资产支持证券，不得超过其各类资产支持证券合计规模的10％；</w:t>
      </w:r>
    </w:p>
    <w:p w14:paraId="4806A9C7"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sz w:val="24"/>
        </w:rPr>
        <w:t>12</w:t>
      </w:r>
      <w:r w:rsidRPr="00A4590A">
        <w:rPr>
          <w:rFonts w:asciiTheme="minorEastAsia" w:eastAsiaTheme="minorEastAsia" w:hAnsiTheme="minorEastAsia"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42AC0E4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1</w:t>
      </w:r>
      <w:r w:rsidRPr="00A4590A">
        <w:rPr>
          <w:rFonts w:asciiTheme="minorEastAsia" w:eastAsiaTheme="minorEastAsia" w:hAnsiTheme="minorEastAsia"/>
          <w:sz w:val="24"/>
        </w:rPr>
        <w:t>3</w:t>
      </w:r>
      <w:r w:rsidRPr="00A4590A">
        <w:rPr>
          <w:rFonts w:asciiTheme="minorEastAsia" w:eastAsiaTheme="minorEastAsia" w:hAnsiTheme="minorEastAsia" w:hint="eastAsia"/>
          <w:sz w:val="24"/>
        </w:rPr>
        <w:t>.基金财产参与股票发行申购，本基金所申报的金额不超过本基金的总资产，本基金所申报的股票数量不超过拟发行股票公司本次发行股票的总量；</w:t>
      </w:r>
    </w:p>
    <w:p w14:paraId="5DACDBF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1</w:t>
      </w:r>
      <w:r w:rsidRPr="00A4590A">
        <w:rPr>
          <w:rFonts w:asciiTheme="minorEastAsia" w:eastAsiaTheme="minorEastAsia" w:hAnsiTheme="minorEastAsia"/>
          <w:sz w:val="24"/>
        </w:rPr>
        <w:t>4</w:t>
      </w:r>
      <w:r w:rsidRPr="00A4590A">
        <w:rPr>
          <w:rFonts w:asciiTheme="minorEastAsia" w:eastAsiaTheme="minorEastAsia" w:hAnsiTheme="minorEastAsia" w:hint="eastAsia"/>
          <w:sz w:val="24"/>
        </w:rPr>
        <w:t>.本基金进入全国银行间同业市场进行债券回购的资金余额不得超过基金资产净值的40％；本基金在全国银行间同业市场中的债券回购最长期限为1年，债券回购到期后不得展期；</w:t>
      </w:r>
    </w:p>
    <w:p w14:paraId="4B7E62B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15.</w:t>
      </w:r>
      <w:r w:rsidRPr="00A4590A">
        <w:rPr>
          <w:rFonts w:asciiTheme="minorEastAsia" w:eastAsiaTheme="minorEastAsia" w:hAnsiTheme="minorEastAsia" w:hint="eastAsia"/>
        </w:rPr>
        <w:t xml:space="preserve"> </w:t>
      </w:r>
      <w:r w:rsidRPr="00A4590A">
        <w:rPr>
          <w:rFonts w:asciiTheme="minorEastAsia" w:eastAsiaTheme="minorEastAsia" w:hAnsiTheme="minorEastAsia" w:hint="eastAsia"/>
          <w:sz w:val="24"/>
        </w:rPr>
        <w:t>本基金参与股指期货交易和国债期货交易，应当遵循下列要求：</w:t>
      </w:r>
    </w:p>
    <w:p w14:paraId="4A9E398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1）封闭期内，本基金在任何交易日日终，持有的买入股指期货和国债期货合约价值与有价证券市值之和，不得超过基金资产净值的100%；开放期内，本基金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14:paraId="3313016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2）本基金在任何交易日日终，持有的买入股指期货合约价值，不得超过基金资产净值的10%；在任何交易日日终，持有的卖出股指期货合约价值不得超过基金持有的股票总市值的20%；本基金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7B2ADB0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3）本基金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本基金所持有的债券（不含到期日在一年以内的政府债券）市值和买入、卖出国债期货合约价值，合计（轧差计算）应当符合基金合同关于债券投资比例的有关约定；</w:t>
      </w:r>
    </w:p>
    <w:p w14:paraId="3621CEB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本基金在开始进行期货投资之前，应与基金托管人、期货公司三方一同就期货开户、清算、估值、交收等事宜另行签署《期货投资托管操作三方备忘录》本产品</w:t>
      </w:r>
      <w:r w:rsidRPr="00A4590A">
        <w:rPr>
          <w:rFonts w:asciiTheme="minorEastAsia" w:eastAsiaTheme="minorEastAsia" w:hAnsiTheme="minorEastAsia" w:hint="eastAsia"/>
          <w:sz w:val="24"/>
        </w:rPr>
        <w:lastRenderedPageBreak/>
        <w:t>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A036831"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1</w:t>
      </w:r>
      <w:r w:rsidRPr="00A4590A">
        <w:rPr>
          <w:rFonts w:asciiTheme="minorEastAsia" w:eastAsiaTheme="minorEastAsia" w:hAnsiTheme="minorEastAsia"/>
          <w:sz w:val="24"/>
        </w:rPr>
        <w:t>6</w:t>
      </w:r>
      <w:r w:rsidRPr="00A4590A">
        <w:rPr>
          <w:rFonts w:asciiTheme="minorEastAsia" w:eastAsiaTheme="minorEastAsia" w:hAnsiTheme="minorEastAsia" w:hint="eastAsia"/>
          <w:sz w:val="24"/>
        </w:rPr>
        <w:t>.开放期内，本基金资产总值不得超过基金资产净值的140%；封闭期内，本基金的基金总资产不得超过基金净资产的200%；</w:t>
      </w:r>
    </w:p>
    <w:p w14:paraId="7FC0FE5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17. 本基金参与融资的，每个交易日日终，本基金持有的融资买入股票与其他有价证券市值之和，不得超过基金资产净值的95%；</w:t>
      </w:r>
    </w:p>
    <w:p w14:paraId="29EAF21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18.因未平仓的期权合约支付和收取的权利金总额不得超过基金资产净值的10%；</w:t>
      </w:r>
    </w:p>
    <w:p w14:paraId="3556B1D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sz w:val="24"/>
        </w:rPr>
        <w:t>19.开仓卖出认购期权的</w:t>
      </w:r>
      <w:r w:rsidRPr="00A4590A">
        <w:rPr>
          <w:rFonts w:asciiTheme="minorEastAsia" w:eastAsiaTheme="minorEastAsia" w:hAnsiTheme="minorEastAsia" w:hint="eastAsia"/>
          <w:sz w:val="24"/>
        </w:rPr>
        <w:t>，</w:t>
      </w:r>
      <w:r w:rsidRPr="00A4590A">
        <w:rPr>
          <w:rFonts w:asciiTheme="minorEastAsia" w:eastAsiaTheme="minorEastAsia" w:hAnsiTheme="minorEastAsia"/>
          <w:sz w:val="24"/>
        </w:rPr>
        <w:t>应持有足额标的证券</w:t>
      </w:r>
      <w:r w:rsidRPr="00A4590A">
        <w:rPr>
          <w:rFonts w:asciiTheme="minorEastAsia" w:eastAsiaTheme="minorEastAsia" w:hAnsiTheme="minorEastAsia" w:hint="eastAsia"/>
          <w:sz w:val="24"/>
        </w:rPr>
        <w:t>；开仓卖出认沽期权的，应持有合约行权所需的全额现金或交易所规则认可的可冲抵期权保证金的现金等价物；</w:t>
      </w:r>
    </w:p>
    <w:p w14:paraId="59F0D87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20.未平仓的期权合约面值不得超过基金资产净值的20%。其中，合约面值按照行权价乘以合约乘数计算；</w:t>
      </w:r>
      <w:r w:rsidRPr="00A4590A">
        <w:rPr>
          <w:rFonts w:asciiTheme="minorEastAsia" w:eastAsiaTheme="minorEastAsia" w:hAnsiTheme="minorEastAsia"/>
          <w:sz w:val="24"/>
        </w:rPr>
        <w:t xml:space="preserve"> </w:t>
      </w:r>
    </w:p>
    <w:p w14:paraId="07AC83B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21</w:t>
      </w:r>
      <w:r w:rsidR="00372857" w:rsidRPr="00A4590A">
        <w:rPr>
          <w:rFonts w:asciiTheme="minorEastAsia" w:eastAsiaTheme="minorEastAsia" w:hAnsiTheme="minorEastAsia" w:hint="eastAsia"/>
          <w:sz w:val="24"/>
        </w:rPr>
        <w:t>.</w:t>
      </w:r>
      <w:r w:rsidRPr="00A4590A">
        <w:rPr>
          <w:rFonts w:asciiTheme="minorEastAsia" w:eastAsiaTheme="minorEastAsia" w:hAnsiTheme="minorEastAsia" w:hint="eastAsia"/>
          <w:sz w:val="24"/>
        </w:rPr>
        <w:t>开放期内，本基金主动投资流动性受限资产的市值合计不得超过本基金基金资产净值的15%；因证券市场波动、上市公司</w:t>
      </w:r>
      <w:r w:rsidR="009449E6" w:rsidRPr="00A4590A">
        <w:rPr>
          <w:rFonts w:asciiTheme="minorEastAsia" w:eastAsiaTheme="minorEastAsia" w:hAnsiTheme="minorEastAsia" w:hint="eastAsia"/>
          <w:sz w:val="24"/>
        </w:rPr>
        <w:t>股票</w:t>
      </w:r>
      <w:r w:rsidRPr="00A4590A">
        <w:rPr>
          <w:rFonts w:asciiTheme="minorEastAsia" w:eastAsiaTheme="minorEastAsia" w:hAnsiTheme="minorEastAsia" w:hint="eastAsia"/>
          <w:sz w:val="24"/>
        </w:rPr>
        <w:t>停牌、基金规模变动等基金管理人之外的因素致使基金投资比例不符合上述投资比例限制的，基金管理人不得主动新增流动性受限资产的投资；</w:t>
      </w:r>
    </w:p>
    <w:p w14:paraId="0046492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22</w:t>
      </w:r>
      <w:r w:rsidR="00372857" w:rsidRPr="00A4590A">
        <w:rPr>
          <w:rFonts w:asciiTheme="minorEastAsia" w:eastAsiaTheme="minorEastAsia" w:hAnsiTheme="minorEastAsia" w:hint="eastAsia"/>
          <w:sz w:val="24"/>
        </w:rPr>
        <w:t>.</w:t>
      </w:r>
      <w:r w:rsidRPr="00A4590A">
        <w:rPr>
          <w:rFonts w:asciiTheme="minorEastAsia" w:eastAsiaTheme="minorEastAsia" w:hAnsiTheme="minorEastAsia" w:hint="eastAsia"/>
          <w:sz w:val="24"/>
        </w:rPr>
        <w:t>本基金管理人管理且由本基金托管人托管的全部开放式基金（包括开放式基金以及处于开放期的定期开放基金，完全按照有关指数的构成比例进行证券投资的开放式基金以及中国证监会认可的特殊投资组合除外）持有一家上市公司发行的可流通股票，不得超过该上市公司可流通股票的15%；同一基金管理人管理且由本基金托管人托管的全部投资组合持有一家上市公司发行的可流通股票，不得超过该上市公司可流通股票的30%；</w:t>
      </w:r>
    </w:p>
    <w:p w14:paraId="2370CA5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23.</w:t>
      </w:r>
      <w:r w:rsidRPr="00A4590A">
        <w:rPr>
          <w:rFonts w:asciiTheme="minorEastAsia" w:eastAsiaTheme="minorEastAsia" w:hAnsiTheme="minorEastAsia" w:hint="eastAsia"/>
        </w:rPr>
        <w:t xml:space="preserve"> </w:t>
      </w:r>
      <w:r w:rsidRPr="00A4590A">
        <w:rPr>
          <w:rFonts w:asciiTheme="minorEastAsia" w:eastAsiaTheme="minorEastAsia" w:hAnsiTheme="minorEastAsia" w:hint="eastAsia"/>
          <w:sz w:val="24"/>
        </w:rPr>
        <w:t>本基金与私募类证券资管产品及中国证监会认定的其他主体为交易对手方开展逆回购交易的，可接受质押品的资质要求应当与基金合同约定的投资范围保持一致；</w:t>
      </w:r>
    </w:p>
    <w:p w14:paraId="391014E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2</w:t>
      </w:r>
      <w:r w:rsidRPr="00A4590A">
        <w:rPr>
          <w:rFonts w:asciiTheme="minorEastAsia" w:eastAsiaTheme="minorEastAsia" w:hAnsiTheme="minorEastAsia"/>
          <w:sz w:val="24"/>
        </w:rPr>
        <w:t>4</w:t>
      </w:r>
      <w:r w:rsidRPr="00A4590A">
        <w:rPr>
          <w:rFonts w:asciiTheme="minorEastAsia" w:eastAsiaTheme="minorEastAsia" w:hAnsiTheme="minorEastAsia" w:hint="eastAsia"/>
          <w:sz w:val="24"/>
        </w:rPr>
        <w:t>.本基金持有单只中小企业私募债券，其市值不得超过本基金资产净值的10%，且其剩余期限不得超过本基金的剩余封闭运作期；</w:t>
      </w:r>
    </w:p>
    <w:p w14:paraId="38FF805F" w14:textId="77777777" w:rsidR="001A71F1"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2</w:t>
      </w:r>
      <w:r w:rsidRPr="00A4590A">
        <w:rPr>
          <w:rFonts w:asciiTheme="minorEastAsia" w:eastAsiaTheme="minorEastAsia" w:hAnsiTheme="minorEastAsia"/>
          <w:sz w:val="24"/>
        </w:rPr>
        <w:t>5</w:t>
      </w:r>
      <w:r w:rsidRPr="00A4590A">
        <w:rPr>
          <w:rFonts w:asciiTheme="minorEastAsia" w:eastAsiaTheme="minorEastAsia" w:hAnsiTheme="minorEastAsia" w:hint="eastAsia"/>
          <w:sz w:val="24"/>
        </w:rPr>
        <w:t>.</w:t>
      </w:r>
      <w:r w:rsidR="001A71F1" w:rsidRPr="00A4590A">
        <w:rPr>
          <w:rFonts w:asciiTheme="minorEastAsia" w:eastAsiaTheme="minorEastAsia" w:hAnsiTheme="minorEastAsia" w:hint="eastAsia"/>
          <w:sz w:val="24"/>
        </w:rPr>
        <w:t>本基金持有一家公司发行的流通受限证券，其市值不得超过基金资产净值</w:t>
      </w:r>
      <w:r w:rsidR="001A71F1" w:rsidRPr="00A4590A">
        <w:rPr>
          <w:rFonts w:asciiTheme="minorEastAsia" w:eastAsiaTheme="minorEastAsia" w:hAnsiTheme="minorEastAsia" w:hint="eastAsia"/>
          <w:sz w:val="24"/>
        </w:rPr>
        <w:lastRenderedPageBreak/>
        <w:t>的10%；经基金管理人和基金托管人协商，可对以上比例进行调整；基金管理人应制订严格的投资决策流程和风险控制制度，防范流动性风险、法律风险和操作风险等各种风险；本款所指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3CEC7FCC" w14:textId="77777777" w:rsidR="00D75768" w:rsidRPr="00A4590A" w:rsidRDefault="001A71F1"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26.</w:t>
      </w:r>
      <w:r w:rsidR="00D75768" w:rsidRPr="00A4590A">
        <w:rPr>
          <w:rFonts w:asciiTheme="minorEastAsia" w:eastAsiaTheme="minorEastAsia" w:hAnsiTheme="minorEastAsia" w:hint="eastAsia"/>
          <w:sz w:val="24"/>
        </w:rPr>
        <w:t>法律法规及中国证监会规定的和《基金合同》约定的其他投资限制。</w:t>
      </w:r>
    </w:p>
    <w:p w14:paraId="1CF28A7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除上述第2、12、21、23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FB62E5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基金管理人应当自基金合同生效之日起</w:t>
      </w:r>
      <w:r w:rsidRPr="00A4590A">
        <w:rPr>
          <w:rFonts w:asciiTheme="minorEastAsia" w:eastAsiaTheme="minorEastAsia" w:hAnsiTheme="minorEastAsia"/>
          <w:sz w:val="24"/>
        </w:rPr>
        <w:t>6</w:t>
      </w:r>
      <w:r w:rsidRPr="00A4590A">
        <w:rPr>
          <w:rFonts w:asciiTheme="minorEastAsia" w:eastAsiaTheme="minorEastAsia" w:hAnsiTheme="minorEastAsia"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B1C0A1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sz w:val="24"/>
        </w:rPr>
        <w:t>法律法规或监管部门取消或变更上述限制</w:t>
      </w:r>
      <w:r w:rsidRPr="00A4590A">
        <w:rPr>
          <w:rFonts w:asciiTheme="minorEastAsia" w:eastAsiaTheme="minorEastAsia" w:hAnsiTheme="minorEastAsia" w:hint="eastAsia"/>
          <w:sz w:val="24"/>
        </w:rPr>
        <w:t>，</w:t>
      </w:r>
      <w:r w:rsidRPr="00A4590A">
        <w:rPr>
          <w:rFonts w:asciiTheme="minorEastAsia" w:eastAsiaTheme="minorEastAsia" w:hAnsiTheme="minorEastAsia"/>
          <w:sz w:val="24"/>
        </w:rPr>
        <w:t>如适用于本基金</w:t>
      </w:r>
      <w:r w:rsidRPr="00A4590A">
        <w:rPr>
          <w:rFonts w:asciiTheme="minorEastAsia" w:eastAsiaTheme="minorEastAsia" w:hAnsiTheme="minorEastAsia" w:hint="eastAsia"/>
          <w:sz w:val="24"/>
        </w:rPr>
        <w:t>，</w:t>
      </w:r>
      <w:r w:rsidRPr="00A4590A">
        <w:rPr>
          <w:rFonts w:asciiTheme="minorEastAsia" w:eastAsiaTheme="minorEastAsia" w:hAnsiTheme="minorEastAsia"/>
          <w:sz w:val="24"/>
        </w:rPr>
        <w:t>基金管理人在履行适当程序后</w:t>
      </w:r>
      <w:r w:rsidRPr="00A4590A">
        <w:rPr>
          <w:rFonts w:asciiTheme="minorEastAsia" w:eastAsiaTheme="minorEastAsia" w:hAnsiTheme="minorEastAsia" w:hint="eastAsia"/>
          <w:sz w:val="24"/>
        </w:rPr>
        <w:t>，</w:t>
      </w:r>
      <w:r w:rsidRPr="00A4590A">
        <w:rPr>
          <w:rFonts w:asciiTheme="minorEastAsia" w:eastAsiaTheme="minorEastAsia" w:hAnsiTheme="minorEastAsia"/>
          <w:sz w:val="24"/>
        </w:rPr>
        <w:t>则本基金投资不再受相关限制或按变更后的规定执行</w:t>
      </w:r>
      <w:r w:rsidRPr="00A4590A">
        <w:rPr>
          <w:rFonts w:asciiTheme="minorEastAsia" w:eastAsiaTheme="minorEastAsia" w:hAnsiTheme="minorEastAsia" w:hint="eastAsia"/>
          <w:sz w:val="24"/>
        </w:rPr>
        <w:t>。</w:t>
      </w:r>
    </w:p>
    <w:p w14:paraId="6DBC937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（三）基金托管人</w:t>
      </w:r>
      <w:bookmarkStart w:id="5" w:name="OLE_LINK1"/>
      <w:r w:rsidRPr="00A4590A">
        <w:rPr>
          <w:rFonts w:asciiTheme="minorEastAsia" w:eastAsiaTheme="minorEastAsia" w:hAnsiTheme="minorEastAsia" w:cs="Arial" w:hint="eastAsia"/>
          <w:sz w:val="24"/>
        </w:rPr>
        <w:t>根据有关法律法规的规定及《基金合同》的约定，</w:t>
      </w:r>
      <w:bookmarkEnd w:id="5"/>
      <w:r w:rsidRPr="00A4590A">
        <w:rPr>
          <w:rFonts w:asciiTheme="minorEastAsia" w:eastAsiaTheme="minorEastAsia" w:hAnsiTheme="minorEastAsia" w:cs="Arial" w:hint="eastAsia"/>
          <w:sz w:val="24"/>
        </w:rPr>
        <w:t>对本托管协议第十五条第（九）款基金投资禁止行为通过事后监督方式进行监督。</w:t>
      </w:r>
    </w:p>
    <w:p w14:paraId="7672E88A"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14FF6F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rPr>
      </w:pPr>
      <w:r w:rsidRPr="00A4590A">
        <w:rPr>
          <w:rFonts w:asciiTheme="minorEastAsia" w:eastAsia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w:t>
      </w:r>
      <w:r w:rsidRPr="00A4590A">
        <w:rPr>
          <w:rFonts w:asciiTheme="minorEastAsia" w:eastAsiaTheme="minorEastAsia" w:hAnsiTheme="minorEastAsia" w:cs="Arial" w:hint="eastAsia"/>
          <w:sz w:val="24"/>
        </w:rPr>
        <w:lastRenderedPageBreak/>
        <w:t>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63C111F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rPr>
      </w:pPr>
      <w:r w:rsidRPr="00A4590A">
        <w:rPr>
          <w:rFonts w:asciiTheme="minorEastAsia" w:eastAsiaTheme="minorEastAsia" w:hAnsiTheme="minorEastAsia" w:cs="Arial" w:hint="eastAsia"/>
          <w:color w:val="000000"/>
          <w:sz w:val="24"/>
        </w:rPr>
        <w:t>基金管理人负责对交易对手的资信控制，按银行间债券市场的交易规则进行交易，并</w:t>
      </w:r>
      <w:r w:rsidRPr="00A4590A">
        <w:rPr>
          <w:rFonts w:asciiTheme="minorEastAsia" w:eastAsia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A4590A">
        <w:rPr>
          <w:rFonts w:asciiTheme="minorEastAsia" w:eastAsia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0DAA36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（五）基金托管人根据有关法律法规的规定及《基金合同》的约定，对基金管理人投资流动性受限资产进行监督。</w:t>
      </w:r>
    </w:p>
    <w:p w14:paraId="5EBB26C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hint="eastAsia"/>
          <w:sz w:val="24"/>
        </w:rPr>
        <w:t>基金管理人投资流动性受限资产，应事先根据中国证监会相关规定，明确基金投资流动性受限资产的比例，</w:t>
      </w:r>
      <w:r w:rsidRPr="00A4590A">
        <w:rPr>
          <w:rFonts w:asciiTheme="minorEastAsia" w:eastAsiaTheme="minorEastAsia" w:hAnsiTheme="minorEastAsia"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CCC101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cs="Arial"/>
          <w:sz w:val="24"/>
        </w:rPr>
        <w:t>1.本基金</w:t>
      </w:r>
      <w:r w:rsidRPr="00A4590A">
        <w:rPr>
          <w:rFonts w:asciiTheme="minorEastAsia" w:eastAsiaTheme="minorEastAsia" w:hAnsiTheme="minorEastAsia" w:hint="eastAsia"/>
          <w:sz w:val="24"/>
        </w:rPr>
        <w:t>投资的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以及法律法规或中国证监会规定的其他流动性受限资产，如未来法律法规变动，基金管理人在履行适当程序后，可对上述流动性受限资产范围进行调整。</w:t>
      </w:r>
    </w:p>
    <w:p w14:paraId="4B9124B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cs="Arial" w:hint="eastAsia"/>
          <w:sz w:val="24"/>
        </w:rPr>
        <w:t>本基金</w:t>
      </w:r>
      <w:r w:rsidRPr="00A4590A">
        <w:rPr>
          <w:rFonts w:asciiTheme="minorEastAsia" w:eastAsiaTheme="minorEastAsia" w:hAnsiTheme="minorEastAsia" w:hint="eastAsia"/>
          <w:sz w:val="24"/>
        </w:rPr>
        <w:t>投资的流动性受限资产应保证登记存管在本基金名下，基金管理人负责相关工作的落实和协调，并确保基金托管人能够正常查询。因基金管理人原因产生的流动性受限资产登记存管问题，造成基金托管人无法安全保管本基金资产的责任与损失，及因流动性受限资产存管直接影响本基金安全的责任及损失，由基金</w:t>
      </w:r>
      <w:r w:rsidRPr="00A4590A">
        <w:rPr>
          <w:rFonts w:asciiTheme="minorEastAsia" w:eastAsiaTheme="minorEastAsia" w:hAnsiTheme="minorEastAsia" w:hint="eastAsia"/>
          <w:sz w:val="24"/>
        </w:rPr>
        <w:lastRenderedPageBreak/>
        <w:t>管理人承担。</w:t>
      </w:r>
    </w:p>
    <w:p w14:paraId="1A3A070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cs="Arial" w:hint="eastAsia"/>
          <w:sz w:val="24"/>
        </w:rPr>
        <w:t>本基金</w:t>
      </w:r>
      <w:r w:rsidRPr="00A4590A">
        <w:rPr>
          <w:rFonts w:asciiTheme="minorEastAsia" w:eastAsiaTheme="minorEastAsia" w:hAnsiTheme="minorEastAsia" w:hint="eastAsia"/>
          <w:sz w:val="24"/>
        </w:rPr>
        <w:t>投资流动性受限资产，不得预付任何形式的保证金。</w:t>
      </w:r>
    </w:p>
    <w:p w14:paraId="3F2B5D46"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cs="Arial"/>
          <w:sz w:val="24"/>
        </w:rPr>
        <w:t>2.</w:t>
      </w:r>
      <w:r w:rsidRPr="00A4590A">
        <w:rPr>
          <w:rFonts w:asciiTheme="minorEastAsia" w:eastAsiaTheme="minorEastAsia" w:hAnsiTheme="minorEastAsia" w:hint="eastAsia"/>
          <w:sz w:val="24"/>
        </w:rPr>
        <w:t>基金管理人投资非公开发行股票，应制订流动性风险处置预案并经其董事会批准。风险处置预案应包括但不限于因投资流动性受限资产需要解决的基金投资比例限制失调、基金流动性困难以及相关损失的应对解决措施，以及有关异常情况的处置。</w:t>
      </w:r>
      <w:r w:rsidRPr="00A4590A">
        <w:rPr>
          <w:rFonts w:asciiTheme="minorEastAsia" w:eastAsiaTheme="minorEastAsia" w:hAnsiTheme="minorEastAsia" w:cs="Arial" w:hint="eastAsia"/>
          <w:sz w:val="24"/>
        </w:rPr>
        <w:t>基金管理人应在首次投资流动性受限资产前向基金托管人提供</w:t>
      </w:r>
      <w:r w:rsidRPr="00A4590A">
        <w:rPr>
          <w:rFonts w:asciiTheme="minorEastAsia" w:eastAsiaTheme="minorEastAsia" w:hAnsiTheme="minorEastAsia" w:hint="eastAsia"/>
          <w:sz w:val="24"/>
        </w:rPr>
        <w:t>基金投资非公开发行股票相关流动性风险处置预案。</w:t>
      </w:r>
    </w:p>
    <w:p w14:paraId="7DA60AD6"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基金管理人对本基金投资流动性受限资产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动性受限资产导致的流动性风险，基金托管人不承担任何责任。如因基金管理人原因导致本基金出现损失致使基金托管人承担连带赔偿责任的，基金管理人应赔偿基金托管人由此遭受的损失。</w:t>
      </w:r>
    </w:p>
    <w:p w14:paraId="65FAADB9"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cs="Arial"/>
          <w:sz w:val="24"/>
        </w:rPr>
        <w:t>3.</w:t>
      </w:r>
      <w:r w:rsidRPr="00A4590A">
        <w:rPr>
          <w:rFonts w:asciiTheme="minorEastAsia" w:eastAsiaTheme="minorEastAsia" w:hAnsiTheme="min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CE78752"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（1）中国证监会批准发行非公开发行股票的批准文件。</w:t>
      </w:r>
    </w:p>
    <w:p w14:paraId="393F2AF5"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（2）非公开发行股票有关发行数量、发行价格、锁定期等发行资料。</w:t>
      </w:r>
    </w:p>
    <w:p w14:paraId="475FCE7F"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（3）非公开发行股票发行人与中国证券登记结算有限责任公司或中央国债登记结算有限责任公司签订的证券登记及服务协议。</w:t>
      </w:r>
    </w:p>
    <w:p w14:paraId="4181C1A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hint="eastAsia"/>
          <w:sz w:val="24"/>
        </w:rPr>
        <w:t>（4）基金拟认购的数量、价格、总成本、账面价值。</w:t>
      </w:r>
    </w:p>
    <w:p w14:paraId="29EE92D0"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cs="Arial"/>
          <w:sz w:val="24"/>
        </w:rPr>
        <w:t>4.</w:t>
      </w:r>
      <w:r w:rsidRPr="00A4590A">
        <w:rPr>
          <w:rFonts w:asciiTheme="minorEastAsia" w:eastAsiaTheme="minorEastAsia" w:hAnsiTheme="minorEastAsia"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082EE0F"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本基金有关投资流动性受限资产比例如违反有关限制规定，在合理期限内未能进行及时调整，基金管理人应在两个工作日内编制临时报告书，予以公告。</w:t>
      </w:r>
    </w:p>
    <w:p w14:paraId="79F38DA3"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cs="Arial"/>
          <w:sz w:val="24"/>
        </w:rPr>
        <w:t>5.</w:t>
      </w:r>
      <w:r w:rsidRPr="00A4590A">
        <w:rPr>
          <w:rFonts w:asciiTheme="minorEastAsia" w:eastAsiaTheme="minorEastAsia" w:hAnsiTheme="minorEastAsia" w:hint="eastAsia"/>
          <w:sz w:val="24"/>
        </w:rPr>
        <w:t>基金托管人根据有关规定有权对基金管理人进行以下事项监督：</w:t>
      </w:r>
    </w:p>
    <w:p w14:paraId="0F8D9E67"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（1）本基金投资流动性受限资产时的法律法规遵守情况。</w:t>
      </w:r>
    </w:p>
    <w:p w14:paraId="47029661"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lastRenderedPageBreak/>
        <w:t>（2）在基金投资流动性受限资产管理工作方面有关制度、流动性风险处置预案的建立与完善情况。</w:t>
      </w:r>
    </w:p>
    <w:p w14:paraId="494FF396"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（3）有关比例限制的执行情况。</w:t>
      </w:r>
    </w:p>
    <w:p w14:paraId="1B408DFF"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（4）信息披露情况。</w:t>
      </w:r>
    </w:p>
    <w:p w14:paraId="1694349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cs="Arial"/>
          <w:sz w:val="24"/>
        </w:rPr>
        <w:t>6.</w:t>
      </w:r>
      <w:r w:rsidRPr="00A4590A">
        <w:rPr>
          <w:rFonts w:asciiTheme="minorEastAsia" w:eastAsiaTheme="minorEastAsia" w:hAnsiTheme="minorEastAsia" w:hint="eastAsia"/>
          <w:sz w:val="24"/>
        </w:rPr>
        <w:t>相关法律法规对基金投资流动性受限资产有新规定的，从其规定。</w:t>
      </w:r>
    </w:p>
    <w:p w14:paraId="4EB1A31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0FC9E82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i/>
          <w:sz w:val="24"/>
        </w:rPr>
      </w:pPr>
      <w:r w:rsidRPr="00A4590A">
        <w:rPr>
          <w:rFonts w:asciiTheme="minorEastAsia" w:eastAsiaTheme="minorEastAsia" w:hAnsiTheme="minorEastAsia" w:cs="Arial" w:hint="eastAsia"/>
          <w:sz w:val="24"/>
        </w:rPr>
        <w:t>基金托管人对基金投资中小企业私募债券是否符合比例限制进行事后监督，如发现异常情况，应及时以书面形式通知基金管理人。基金管理人应积极配合和协助基金</w:t>
      </w:r>
      <w:r w:rsidRPr="00A4590A">
        <w:rPr>
          <w:rFonts w:asciiTheme="minorEastAsia" w:eastAsiaTheme="minorEastAsia" w:hAnsiTheme="minorEastAsia" w:cs="Arial"/>
          <w:sz w:val="24"/>
        </w:rPr>
        <w:t>托管人</w:t>
      </w:r>
      <w:r w:rsidRPr="00A4590A">
        <w:rPr>
          <w:rFonts w:asciiTheme="minorEastAsia" w:eastAsiaTheme="minorEastAsia" w:hAnsiTheme="minorEastAsia" w:cs="Arial"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4FDC926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BE9A95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E12A80E"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CC5EA1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lastRenderedPageBreak/>
        <w:t>（十）若基金托管人发现基金管理人依据交易程序已经生效的指令违反法律、行政法规和其他有关规定，或者违反《基金合同》约定的，应当立即通知基金管理人，由此造成的损失由基金管理人承担。</w:t>
      </w:r>
    </w:p>
    <w:p w14:paraId="6FB164D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3777890" w14:textId="77777777" w:rsidR="00D75768" w:rsidRPr="00A4590A" w:rsidRDefault="00D75768" w:rsidP="00A4590A">
      <w:pPr>
        <w:spacing w:line="360" w:lineRule="auto"/>
        <w:rPr>
          <w:rFonts w:asciiTheme="minorEastAsia" w:eastAsiaTheme="minorEastAsia" w:hAnsiTheme="minorEastAsia"/>
          <w:sz w:val="24"/>
        </w:rPr>
      </w:pPr>
    </w:p>
    <w:p w14:paraId="1958CC9C"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A4590A">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EAE3B29"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一）基金管理人对基金托管人履行托管职责情况进行核查，核查事项包括基金托管人安全保管基金财产、开设基金财产的资金账户、证券账户等投资所需的账户、复核基金管理人计算的基金资产净值和基金份额净值、根据基金管理人指令办理清算交收、相关信息披露和监督基金投资运作等行为。</w:t>
      </w:r>
    </w:p>
    <w:p w14:paraId="7D208076"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2ED36B6"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158CA18" w14:textId="77777777" w:rsidR="00D75768" w:rsidRPr="00A4590A" w:rsidRDefault="00D75768" w:rsidP="00A4590A">
      <w:pPr>
        <w:spacing w:line="360" w:lineRule="auto"/>
        <w:rPr>
          <w:rFonts w:asciiTheme="minorEastAsia" w:eastAsiaTheme="minorEastAsia" w:hAnsiTheme="minorEastAsia"/>
          <w:sz w:val="24"/>
        </w:rPr>
      </w:pPr>
    </w:p>
    <w:p w14:paraId="064DDCBB"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A4590A">
        <w:rPr>
          <w:rFonts w:asciiTheme="minorEastAsia" w:eastAsiaTheme="minorEastAsia" w:hAnsiTheme="minorEastAsia"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4199586"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（一）基金财产保管的原则</w:t>
      </w:r>
    </w:p>
    <w:p w14:paraId="148A1A3D"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1.基金财产应独立于基金管理人、基金托管人的固有财产。</w:t>
      </w:r>
    </w:p>
    <w:p w14:paraId="111D40A6"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2.基金托管人应安全保管基金财产。</w:t>
      </w:r>
    </w:p>
    <w:p w14:paraId="2A45D368"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3.基金托管人按照规定开设基金财产的资金账户、证券账户等投资所需的账户。</w:t>
      </w:r>
    </w:p>
    <w:p w14:paraId="53CC11F9"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4.基金托管人对所托管的不同基金财产分别设置账户，确保基金财产的完整与独立。</w:t>
      </w:r>
    </w:p>
    <w:p w14:paraId="56DA6B73"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5.基金托管人按照《基金合同》和本协议的约定保管基金财产，如有特殊情况双方可另行协商解决。基金</w:t>
      </w:r>
      <w:r w:rsidRPr="00A4590A">
        <w:rPr>
          <w:rFonts w:asciiTheme="minorEastAsia" w:eastAsiaTheme="minorEastAsia" w:hAnsiTheme="minorEastAsia"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14590D7F"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7677823"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7.除依据法律法规和《基金合同》的规定外，基金托管人不得委托第三人托管基金财产。</w:t>
      </w:r>
    </w:p>
    <w:p w14:paraId="177896A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（二）基金募集期间及募集资金的验资</w:t>
      </w:r>
    </w:p>
    <w:p w14:paraId="0837760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1.基金募集期间募集的资金应存于基金管理人在基金托管人的营业机构开立的“基金募集专户”。该账户由基金管理人开立并管理。</w:t>
      </w:r>
    </w:p>
    <w:p w14:paraId="52B6E43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D5D3837"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3.若基金募集期限届满，未能达到《基金合同》生效的条件，由基金管理人按规定办理退款等事宜。</w:t>
      </w:r>
    </w:p>
    <w:p w14:paraId="0C427EF5"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lastRenderedPageBreak/>
        <w:t>（三）基金银行账户的开立和管理</w:t>
      </w:r>
    </w:p>
    <w:p w14:paraId="6E0D42D6"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1.基金托管人</w:t>
      </w:r>
      <w:r w:rsidRPr="00A4590A">
        <w:rPr>
          <w:rFonts w:asciiTheme="minorEastAsia" w:eastAsiaTheme="minorEastAsia" w:hAnsiTheme="minorEastAsia" w:cs="Arial"/>
          <w:sz w:val="24"/>
        </w:rPr>
        <w:t>应</w:t>
      </w:r>
      <w:r w:rsidRPr="00A4590A">
        <w:rPr>
          <w:rFonts w:asciiTheme="minorEastAsia" w:eastAsiaTheme="minorEastAsia" w:hAnsiTheme="minorEastAsia" w:cs="Arial" w:hint="eastAsia"/>
          <w:sz w:val="24"/>
        </w:rPr>
        <w:t>以本基金的名义在其营业机构开立基金的银行账户，并根据基金管理人合法合规的指令办理资金收付。本基金的银行预留印鉴由基金托管人保管和使用。</w:t>
      </w:r>
    </w:p>
    <w:p w14:paraId="0DC9F0AD"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722C3BD"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3.基金银行账户的开立和管理应符合银行业监督管理机构的有关规定。</w:t>
      </w:r>
    </w:p>
    <w:p w14:paraId="2BBBE78D"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4.在符合法律法规规定的条件下，基金托管人可以通过基金托管人专用账户办理基金资产的支付。</w:t>
      </w:r>
    </w:p>
    <w:p w14:paraId="62AEE769"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（四）基金证券账户和结算备付金账户的开立和管理</w:t>
      </w:r>
    </w:p>
    <w:p w14:paraId="6AF08327"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1.基金托管人在中国证券登记结算有限责任公司为基金开立基金托管人与基金联名的证券账户。</w:t>
      </w:r>
    </w:p>
    <w:p w14:paraId="27E4717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1E1DDA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3.基金证券账户的开立和证券账户卡的保管由基金托管人负责，账户资产的管理和运用由基金管理人负责。</w:t>
      </w:r>
    </w:p>
    <w:p w14:paraId="5100964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证券账户开户费由基金管理人先行垫付,待托管产品启始运营后，基金管理人可向基金托管人发送划款指令，将代垫开户费从本基金托管资金账户中扣还基金管理人。</w:t>
      </w:r>
    </w:p>
    <w:p w14:paraId="1E91D007"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AE669C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5.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5475750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sz w:val="24"/>
        </w:rPr>
        <w:t>6</w:t>
      </w:r>
      <w:r w:rsidRPr="00A4590A">
        <w:rPr>
          <w:rFonts w:asciiTheme="minorEastAsia" w:eastAsiaTheme="minorEastAsia" w:hAnsiTheme="minorEastAsia" w:cs="Arial" w:hint="eastAsia"/>
          <w:sz w:val="24"/>
        </w:rPr>
        <w:t>.若中国证监会或其他监管机构在本托管协议订立日之后允许基金从事其他</w:t>
      </w:r>
      <w:r w:rsidRPr="00A4590A">
        <w:rPr>
          <w:rFonts w:asciiTheme="minorEastAsia" w:eastAsiaTheme="minorEastAsia" w:hAnsiTheme="minorEastAsia" w:cs="Arial" w:hint="eastAsia"/>
          <w:sz w:val="24"/>
        </w:rPr>
        <w:lastRenderedPageBreak/>
        <w:t>投资品种的投资业务，涉及相关账户的开立、使用的，若无相关规定，则基金托管人比照上述关于账户开立、使用的规定执行。</w:t>
      </w:r>
    </w:p>
    <w:p w14:paraId="39165C3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（五）债券托管专户的开设和管理</w:t>
      </w:r>
    </w:p>
    <w:p w14:paraId="29DB797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63CF0CB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（六）其他账户的开立和管理</w:t>
      </w:r>
    </w:p>
    <w:p w14:paraId="19279D7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FD01DDF"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2.法律法规等有关规定对相关账户的开立和管理另有规定的，从其规定办理。</w:t>
      </w:r>
    </w:p>
    <w:p w14:paraId="0E16A65E"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（七）基金财产投资的有关有价凭证等的保管</w:t>
      </w:r>
    </w:p>
    <w:p w14:paraId="15F91A0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rPr>
      </w:pPr>
      <w:r w:rsidRPr="00A4590A">
        <w:rPr>
          <w:rFonts w:asciiTheme="minorEastAsia" w:eastAsiaTheme="minorEastAsia" w:hAnsiTheme="minorEastAsia" w:cs="Arial" w:hint="eastAsia"/>
          <w:sz w:val="24"/>
        </w:rPr>
        <w:t>基金财产投资的有关实物证券、银行</w:t>
      </w:r>
      <w:r w:rsidRPr="00A4590A">
        <w:rPr>
          <w:rFonts w:asciiTheme="minorEastAsia" w:eastAsiaTheme="minorEastAsia" w:hAnsiTheme="minorEastAsia" w:hint="eastAsia"/>
          <w:sz w:val="24"/>
        </w:rPr>
        <w:t>存款开户证实书</w:t>
      </w:r>
      <w:r w:rsidRPr="00A4590A">
        <w:rPr>
          <w:rFonts w:asciiTheme="minorEastAsia" w:eastAsia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14:paraId="106822A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（八）与基金财产有关的重大合同的保管</w:t>
      </w:r>
    </w:p>
    <w:p w14:paraId="06067601"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30"/>
          <w:szCs w:val="30"/>
        </w:rPr>
      </w:pPr>
      <w:r w:rsidRPr="00A4590A">
        <w:rPr>
          <w:rFonts w:asciiTheme="minorEastAsia" w:eastAsia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w:t>
      </w:r>
      <w:r w:rsidRPr="00A4590A">
        <w:rPr>
          <w:rFonts w:asciiTheme="minorEastAsia" w:eastAsiaTheme="minorEastAsia" w:hAnsiTheme="minorEastAsia" w:cs="Arial" w:hint="eastAsia"/>
          <w:sz w:val="24"/>
        </w:rPr>
        <w:lastRenderedPageBreak/>
        <w:t>在三十个工作日内将正本送达基金托管人处。重大合同的保管期限为《基金合同》终止后15年。</w:t>
      </w:r>
    </w:p>
    <w:p w14:paraId="40E9B837" w14:textId="77777777" w:rsidR="00D75768" w:rsidRPr="00A4590A" w:rsidRDefault="00D75768" w:rsidP="00A4590A">
      <w:pPr>
        <w:spacing w:line="360" w:lineRule="auto"/>
        <w:rPr>
          <w:rFonts w:asciiTheme="minorEastAsia" w:eastAsiaTheme="minorEastAsia" w:hAnsiTheme="minorEastAsia"/>
          <w:sz w:val="24"/>
        </w:rPr>
      </w:pPr>
    </w:p>
    <w:p w14:paraId="614CE421"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A4590A">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DD8B12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5D105BD0"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（一）基金管理人对发送指令人员的书面授权</w:t>
      </w:r>
    </w:p>
    <w:p w14:paraId="579F1B1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1.基金管理人应指定专人向基金托管人发送指令。</w:t>
      </w:r>
    </w:p>
    <w:p w14:paraId="0DDE5995"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261F6D04"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EA5FBA9"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60B447A0"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（二）指令的内容</w:t>
      </w:r>
    </w:p>
    <w:p w14:paraId="7F2CBF08"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1.指令包括付款指令以及其他资金划拨指令等。</w:t>
      </w:r>
    </w:p>
    <w:p w14:paraId="72A9840C"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2.基金管理人发给基金托管人的指令应写明款项事由、支付时间、到账时间、金额、账户等，加盖预留印鉴并由被授权人签字。</w:t>
      </w:r>
    </w:p>
    <w:p w14:paraId="6C3BC129"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（三）指令的发送、确认及执行的时间和程序</w:t>
      </w:r>
    </w:p>
    <w:p w14:paraId="4B6E2506"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1.指令的发送</w:t>
      </w:r>
    </w:p>
    <w:p w14:paraId="5B8F3D0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基金管理人发送指令应采用加密传真方式或双方协商一致的其他方式。</w:t>
      </w:r>
    </w:p>
    <w:p w14:paraId="212449CC"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w:t>
      </w:r>
      <w:r w:rsidRPr="00A4590A">
        <w:rPr>
          <w:rFonts w:asciiTheme="minorEastAsia" w:eastAsiaTheme="minorEastAsia" w:hAnsiTheme="minorEastAsia" w:cs="Arial" w:hint="eastAsia"/>
          <w:sz w:val="24"/>
        </w:rPr>
        <w:lastRenderedPageBreak/>
        <w:t>经基金托管人确认的情况除外。</w:t>
      </w:r>
    </w:p>
    <w:p w14:paraId="082FE94F"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指令发出后，基金管理人应及时以电话方式向基金托管人确认。</w:t>
      </w:r>
    </w:p>
    <w:p w14:paraId="31163924"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hint="eastAsia"/>
          <w:sz w:val="24"/>
        </w:rPr>
        <w:t>基金管理人应在银行间交易成交后，及时将通知单、相关文件及划款指令加盖预留印鉴后发至基金托管人并电话确认，由基金托管人完成后台交易匹配及资金交收事宜。如果银行间结算系统已经生成的交易需要取消或终止，基金管理人要书面通知基金托管人。</w:t>
      </w:r>
    </w:p>
    <w:p w14:paraId="3C9AF1D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2.指令的确认</w:t>
      </w:r>
    </w:p>
    <w:p w14:paraId="1F3BD3AB"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5533FA7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3.指令的时间和执行</w:t>
      </w:r>
    </w:p>
    <w:p w14:paraId="461BD183" w14:textId="77777777" w:rsidR="00D75768" w:rsidRPr="00A4590A" w:rsidRDefault="00D75768" w:rsidP="00A4590A">
      <w:pPr>
        <w:pStyle w:val="ab"/>
        <w:spacing w:line="360" w:lineRule="auto"/>
        <w:ind w:firstLineChars="0"/>
        <w:rPr>
          <w:rFonts w:asciiTheme="minorEastAsia" w:eastAsiaTheme="minorEastAsia" w:hAnsiTheme="minorEastAsia" w:cs="Arial"/>
          <w:szCs w:val="24"/>
          <w:shd w:val="pct15" w:color="auto" w:fill="FFFFFF"/>
        </w:rPr>
      </w:pPr>
      <w:r w:rsidRPr="00A4590A">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A4590A">
        <w:rPr>
          <w:rFonts w:asciiTheme="minorEastAsia" w:eastAsiaTheme="minorEastAsia" w:hAnsiTheme="minorEastAsia" w:cs="Arial" w:hint="eastAsia"/>
          <w:szCs w:val="24"/>
        </w:rPr>
        <w:t>对于中国证券登记结算有限责任公司实行T+0非担保交收的业务，基金管理人应在交易日14：00</w:t>
      </w:r>
      <w:r w:rsidRPr="00A4590A">
        <w:rPr>
          <w:rFonts w:asciiTheme="minorEastAsia" w:eastAsiaTheme="minorEastAsia" w:hAnsiTheme="minorEastAsia" w:cs="Arial" w:hint="eastAsia"/>
        </w:rPr>
        <w:t>前</w:t>
      </w:r>
      <w:r w:rsidRPr="00A4590A">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A4590A">
        <w:rPr>
          <w:rFonts w:asciiTheme="minorEastAsia" w:eastAsiaTheme="minorEastAsia" w:hAnsiTheme="minorEastAsia" w:cs="Arial" w:hint="eastAsia"/>
        </w:rPr>
        <w:t>结算参与人</w:t>
      </w:r>
      <w:r w:rsidRPr="00A4590A">
        <w:rPr>
          <w:rFonts w:asciiTheme="minorEastAsia" w:eastAsiaTheme="minorEastAsia" w:hAnsiTheme="minorEastAsia" w:cs="Arial" w:hint="eastAsia"/>
          <w:szCs w:val="24"/>
        </w:rPr>
        <w:t>最低备付金带来的利息损失</w:t>
      </w:r>
      <w:r w:rsidRPr="00A4590A">
        <w:rPr>
          <w:rFonts w:asciiTheme="minorEastAsia" w:eastAsiaTheme="minorEastAsia" w:hAnsiTheme="minorEastAsia" w:cs="Arial" w:hint="eastAsia"/>
        </w:rPr>
        <w:t>。</w:t>
      </w:r>
      <w:r w:rsidRPr="00A4590A">
        <w:rPr>
          <w:rFonts w:asciiTheme="minorEastAsia" w:eastAsiaTheme="minorEastAsia" w:hAnsiTheme="minorEastAsia" w:cs="Arial" w:hint="eastAsia"/>
          <w:szCs w:val="24"/>
        </w:rPr>
        <w:t>基金管理人应确保基金托管人在执行指令时，基金资金账户有足够的资金余额，</w:t>
      </w:r>
      <w:r w:rsidRPr="00A4590A">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14:paraId="34417039" w14:textId="77777777" w:rsidR="00D75768" w:rsidRPr="00A4590A" w:rsidRDefault="00D75768" w:rsidP="00A4590A">
      <w:pPr>
        <w:pStyle w:val="ab"/>
        <w:spacing w:line="360" w:lineRule="auto"/>
        <w:ind w:firstLineChars="0"/>
        <w:rPr>
          <w:rFonts w:asciiTheme="minorEastAsia" w:eastAsiaTheme="minorEastAsia" w:hAnsiTheme="minorEastAsia" w:cs="Arial"/>
        </w:rPr>
      </w:pPr>
      <w:r w:rsidRPr="00A4590A">
        <w:rPr>
          <w:rFonts w:asciiTheme="minorEastAsia" w:eastAsiaTheme="minorEastAsia" w:hAnsiTheme="minorEastAsia" w:cs="Arial" w:hint="eastAsia"/>
        </w:rPr>
        <w:t>（四）基金管理人发送错误指令的情形和处理程序</w:t>
      </w:r>
    </w:p>
    <w:p w14:paraId="4D7B082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基金管理人发送错误指令的情形包括指令违反法律法规和《基金合同》，指令发送人员无权或超越权限发送指令。</w:t>
      </w:r>
    </w:p>
    <w:p w14:paraId="03F5C5E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基金托管人在履行监督职能时，发现基金管理人的指令错误时，有权拒绝执行，</w:t>
      </w:r>
      <w:r w:rsidRPr="00A4590A">
        <w:rPr>
          <w:rFonts w:asciiTheme="minorEastAsia" w:eastAsiaTheme="minorEastAsia" w:hAnsiTheme="minorEastAsia" w:cs="Arial" w:hint="eastAsia"/>
          <w:sz w:val="24"/>
        </w:rPr>
        <w:lastRenderedPageBreak/>
        <w:t>并及时通知基金管理人改正。如需撤销指令，基金管理人应出具书面说明，并加盖业务用章。</w:t>
      </w:r>
    </w:p>
    <w:p w14:paraId="06B4CAD7"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（五）基金托管人依照法律法规暂缓、拒绝执行指令的情形和处理程序</w:t>
      </w:r>
    </w:p>
    <w:p w14:paraId="60D650E0"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若基金托管人发现基金管理人的指令违反法律法规，或者违反《基金合同》约定的，有权视情况暂缓或拒绝执行，立即通知基金管理人。</w:t>
      </w:r>
    </w:p>
    <w:p w14:paraId="18E9991D"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（六）基金托管人未按照基金管理人指令执行的处理方法</w:t>
      </w:r>
    </w:p>
    <w:p w14:paraId="54A3AB0D"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基金托管人由于自身原因，未按照基金管理人发送的指令执行并对基金财产或投资人造成的直接损失，由基金托管人</w:t>
      </w:r>
      <w:r w:rsidRPr="00A4590A">
        <w:rPr>
          <w:rFonts w:asciiTheme="minorEastAsia" w:eastAsiaTheme="minorEastAsia" w:hAnsiTheme="minorEastAsia" w:hint="eastAsia"/>
          <w:sz w:val="24"/>
        </w:rPr>
        <w:t>赔偿由此造成的直接损失。</w:t>
      </w:r>
    </w:p>
    <w:p w14:paraId="25E5F06F"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（七）更换被授权人员的程序</w:t>
      </w:r>
    </w:p>
    <w:p w14:paraId="01459C95"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A4590A">
        <w:rPr>
          <w:rFonts w:asciiTheme="minorEastAsia" w:eastAsiaTheme="minorEastAsia" w:hAnsiTheme="minorEastAsia" w:hint="eastAsia"/>
          <w:sz w:val="24"/>
        </w:rPr>
        <w:t>。</w:t>
      </w:r>
      <w:r w:rsidRPr="00A4590A">
        <w:rPr>
          <w:rFonts w:asciiTheme="minorEastAsia" w:eastAsiaTheme="minorEastAsia" w:hAnsiTheme="minorEastAsia" w:cs="Arial" w:hint="eastAsia"/>
          <w:sz w:val="24"/>
        </w:rPr>
        <w:t>基金托管人更换接受基金管理人指令的人员，应提前通过录音电话通知基金管理人。</w:t>
      </w:r>
    </w:p>
    <w:p w14:paraId="6694B3D4"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（八）其他事项</w:t>
      </w:r>
    </w:p>
    <w:p w14:paraId="71C3B297"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BA749B5"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BC39286" w14:textId="77777777" w:rsidR="00D75768" w:rsidRPr="00A4590A" w:rsidRDefault="00D75768" w:rsidP="00A4590A">
      <w:pPr>
        <w:adjustRightInd w:val="0"/>
        <w:snapToGrid w:val="0"/>
        <w:spacing w:line="360" w:lineRule="auto"/>
        <w:rPr>
          <w:rFonts w:asciiTheme="minorEastAsia" w:eastAsiaTheme="minorEastAsia" w:hAnsiTheme="minorEastAsia" w:cs="Arial"/>
          <w:sz w:val="24"/>
        </w:rPr>
      </w:pPr>
    </w:p>
    <w:p w14:paraId="78D8FC90"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A4590A">
        <w:rPr>
          <w:rFonts w:asciiTheme="minorEastAsia" w:eastAsiaTheme="minorEastAsia" w:hAnsiTheme="minorEastAsia"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75E1101"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（一）选择证券/期货买卖的证券/期货经营机构</w:t>
      </w:r>
    </w:p>
    <w:p w14:paraId="2EBF346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w:t>
      </w:r>
      <w:r w:rsidRPr="00A4590A">
        <w:rPr>
          <w:rFonts w:asciiTheme="minorEastAsia" w:eastAsiaTheme="minorEastAsia" w:hAnsiTheme="minorEastAsia" w:cs="Arial" w:hint="eastAsia"/>
          <w:sz w:val="24"/>
        </w:rPr>
        <w:lastRenderedPageBreak/>
        <w:t>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7849E92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sz w:val="24"/>
        </w:rPr>
        <w:t>基金管理人负责选择代理本基金期货交易的期货经纪机构</w:t>
      </w:r>
      <w:r w:rsidRPr="00A4590A">
        <w:rPr>
          <w:rFonts w:asciiTheme="minorEastAsia" w:eastAsiaTheme="minorEastAsia" w:hAnsiTheme="minorEastAsia" w:cs="Arial" w:hint="eastAsia"/>
          <w:sz w:val="24"/>
        </w:rPr>
        <w:t>，</w:t>
      </w:r>
      <w:r w:rsidRPr="00A4590A">
        <w:rPr>
          <w:rFonts w:asciiTheme="minorEastAsia" w:eastAsiaTheme="minorEastAsia" w:hAnsiTheme="minorEastAsia" w:cs="Arial"/>
          <w:sz w:val="24"/>
        </w:rPr>
        <w:t>并与其签订期货经纪合同</w:t>
      </w:r>
      <w:r w:rsidRPr="00A4590A">
        <w:rPr>
          <w:rFonts w:asciiTheme="minorEastAsia" w:eastAsiaTheme="minorEastAsia" w:hAnsiTheme="minorEastAsia" w:cs="Arial" w:hint="eastAsia"/>
          <w:sz w:val="24"/>
        </w:rPr>
        <w:t>，</w:t>
      </w:r>
      <w:r w:rsidRPr="00A4590A">
        <w:rPr>
          <w:rFonts w:asciiTheme="minorEastAsia" w:eastAsiaTheme="minorEastAsia" w:hAnsiTheme="minorEastAsia" w:cs="Arial"/>
          <w:sz w:val="24"/>
        </w:rPr>
        <w:t>其他事宜根据法律法规</w:t>
      </w:r>
      <w:r w:rsidRPr="00A4590A">
        <w:rPr>
          <w:rFonts w:asciiTheme="minorEastAsia" w:eastAsiaTheme="minorEastAsia" w:hAnsiTheme="minorEastAsia" w:cs="Arial" w:hint="eastAsia"/>
          <w:sz w:val="24"/>
        </w:rPr>
        <w:t>、《基金合同》的相关规定执行，若无明确规定的，可参照有关证券买卖、证券经纪机构选择的规则执行。</w:t>
      </w:r>
    </w:p>
    <w:p w14:paraId="46822435"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（二）基金投资证券后的清算交收安排</w:t>
      </w:r>
    </w:p>
    <w:p w14:paraId="09B3D129"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1.清算与交割</w:t>
      </w:r>
    </w:p>
    <w:p w14:paraId="526BC572" w14:textId="77777777" w:rsidR="00D75768" w:rsidRPr="00A4590A" w:rsidRDefault="00D75768" w:rsidP="00A4590A">
      <w:pPr>
        <w:adjustRightInd w:val="0"/>
        <w:snapToGrid w:val="0"/>
        <w:spacing w:line="360" w:lineRule="auto"/>
        <w:ind w:firstLine="480"/>
        <w:rPr>
          <w:rFonts w:asciiTheme="minorEastAsia" w:eastAsiaTheme="minorEastAsia" w:hAnsiTheme="minorEastAsia"/>
          <w:sz w:val="24"/>
        </w:rPr>
      </w:pPr>
      <w:r w:rsidRPr="00A4590A">
        <w:rPr>
          <w:rFonts w:asciiTheme="minorEastAsia" w:eastAsiaTheme="minorEastAsia" w:hAnsiTheme="minorEastAsia" w:hint="eastAsia"/>
          <w:sz w:val="24"/>
        </w:rPr>
        <w:t>基金管理人与基金托管人应根据有关法律法规及相关业务规则，签订《托管</w:t>
      </w:r>
    </w:p>
    <w:p w14:paraId="0B827F0F" w14:textId="77777777" w:rsidR="00D75768" w:rsidRPr="00A4590A" w:rsidRDefault="00D75768" w:rsidP="00A4590A">
      <w:pPr>
        <w:adjustRightInd w:val="0"/>
        <w:snapToGrid w:val="0"/>
        <w:spacing w:line="360" w:lineRule="auto"/>
        <w:rPr>
          <w:rFonts w:asciiTheme="minorEastAsia" w:eastAsiaTheme="minorEastAsia" w:hAnsiTheme="minorEastAsia"/>
          <w:sz w:val="24"/>
        </w:rPr>
      </w:pPr>
      <w:r w:rsidRPr="00A4590A">
        <w:rPr>
          <w:rFonts w:asciiTheme="minorEastAsia" w:eastAsiaTheme="minorEastAsia" w:hAnsiTheme="minorEastAsia" w:hint="eastAsia"/>
          <w:sz w:val="24"/>
        </w:rPr>
        <w:t>银行证券资金结算协议》，如投资港股通，还需签订《证券投资基金港股通结算补充协议》，用以具体明确基金管理人与基金托管人在证券交易资金结算业务中的责任。</w:t>
      </w:r>
    </w:p>
    <w:p w14:paraId="2851115B"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9139EA8"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0BA81A1"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w:t>
      </w:r>
      <w:r w:rsidRPr="00A4590A">
        <w:rPr>
          <w:rFonts w:asciiTheme="minorEastAsia" w:eastAsiaTheme="minorEastAsia" w:hAnsiTheme="minorEastAsia" w:cs="Arial" w:hint="eastAsia"/>
          <w:sz w:val="24"/>
        </w:rPr>
        <w:lastRenderedPageBreak/>
        <w:t>的其他资产造成的直接损失由基金管理人承担。</w:t>
      </w:r>
    </w:p>
    <w:p w14:paraId="5E0BB4DC" w14:textId="77777777" w:rsidR="00D75768" w:rsidRPr="00A4590A" w:rsidRDefault="00D75768" w:rsidP="00A4590A">
      <w:pPr>
        <w:adjustRightInd w:val="0"/>
        <w:snapToGrid w:val="0"/>
        <w:spacing w:line="360" w:lineRule="auto"/>
        <w:ind w:firstLine="480"/>
        <w:rPr>
          <w:rFonts w:asciiTheme="minorEastAsia" w:eastAsiaTheme="minorEastAsia" w:hAnsiTheme="minorEastAsia" w:cs="宋体"/>
          <w:color w:val="000000"/>
          <w:kern w:val="0"/>
          <w:sz w:val="24"/>
        </w:rPr>
      </w:pPr>
      <w:r w:rsidRPr="00A4590A">
        <w:rPr>
          <w:rFonts w:asciiTheme="minorEastAsia" w:eastAsiaTheme="minorEastAsia" w:hAnsiTheme="minorEastAsia" w:cs="宋体" w:hint="eastAsia"/>
          <w:color w:val="000000"/>
          <w:kern w:val="0"/>
          <w:sz w:val="24"/>
        </w:rPr>
        <w:t>基金管理人应采取合理、必要措施，确保T日日终有足够的资金头寸完成 T+1日</w:t>
      </w:r>
      <w:r w:rsidRPr="00A4590A">
        <w:rPr>
          <w:rFonts w:asciiTheme="minorEastAsia" w:eastAsiaTheme="minorEastAsia" w:hAnsiTheme="minorEastAsia" w:hint="eastAsia"/>
          <w:sz w:val="24"/>
        </w:rPr>
        <w:t>中国证券登记结算有限责任公司的资金</w:t>
      </w:r>
      <w:r w:rsidRPr="00A4590A">
        <w:rPr>
          <w:rFonts w:asciiTheme="minorEastAsia" w:eastAsiaTheme="minorEastAsia" w:hAnsiTheme="minorEastAsia"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2263EAE"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103F5C20"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实行场内T+0交收的资金清算按照基金托管人的相关规定流程执行。</w:t>
      </w:r>
    </w:p>
    <w:p w14:paraId="69BDF2F8"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2.交易记录、资金和证券账目核对的时间和方式</w:t>
      </w:r>
    </w:p>
    <w:p w14:paraId="371EFF8B"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（1）交易记录的核对</w:t>
      </w:r>
    </w:p>
    <w:p w14:paraId="3B3E3D1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hint="eastAsia"/>
          <w:kern w:val="0"/>
          <w:sz w:val="24"/>
        </w:rPr>
        <w:t>基金管理人与基金托管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DBB04D5"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（2）资金账目的核对</w:t>
      </w:r>
    </w:p>
    <w:p w14:paraId="6AB538EA"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资金账目由基金管理人与基金托管人按日核实。</w:t>
      </w:r>
    </w:p>
    <w:p w14:paraId="45556B88"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（3）证券账目的核对</w:t>
      </w:r>
    </w:p>
    <w:p w14:paraId="790B2A47"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基金管理人和基金托管人每个交易日结束后核对基金交易所场内证券账目、期货账目，确保双方账目相符。基金管理人和基金托管人每月月末最后一个交易日核对非交易所场内的证券账目。</w:t>
      </w:r>
    </w:p>
    <w:p w14:paraId="3C61D8E2" w14:textId="77777777" w:rsidR="00D75768" w:rsidRPr="00A4590A" w:rsidRDefault="00D75768" w:rsidP="00A4590A">
      <w:pPr>
        <w:adjustRightInd w:val="0"/>
        <w:snapToGrid w:val="0"/>
        <w:spacing w:line="360" w:lineRule="auto"/>
        <w:ind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（三）基金申购和赎回业务处理的基本规定</w:t>
      </w:r>
    </w:p>
    <w:p w14:paraId="10CA2FF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1.基金份额申购、赎回的确认、清算由基金管理人或其委托的登记机构负责。</w:t>
      </w:r>
    </w:p>
    <w:p w14:paraId="379E0239"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w:t>
      </w:r>
      <w:r w:rsidRPr="00A4590A">
        <w:rPr>
          <w:rFonts w:asciiTheme="minorEastAsia" w:eastAsiaTheme="minorEastAsia" w:hAnsiTheme="minorEastAsia" w:cs="Arial" w:hint="eastAsia"/>
          <w:sz w:val="24"/>
        </w:rPr>
        <w:lastRenderedPageBreak/>
        <w:t>付赎回及转出款项。</w:t>
      </w:r>
    </w:p>
    <w:p w14:paraId="43C81E19"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3.基金管理人应保证本基金（或本基金管理人委托）的登记机构每个工作日15:00前向基金托管人发送前一开放日上述有关数据，并保证相关数据的准确、完整。</w:t>
      </w:r>
    </w:p>
    <w:p w14:paraId="6F37734E"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D4F6974"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5.如基金管理人委托其他机构办理本基金的登记业务，应保证上述相关事宜按时进行。否则，由基金管理人承担相应的责任。</w:t>
      </w:r>
    </w:p>
    <w:p w14:paraId="2A8D533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6.关于清算专用账户的设立和管理</w:t>
      </w:r>
    </w:p>
    <w:p w14:paraId="0ABD66A8"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为满足申购、赎回及分红资金汇划的需要，由基金管理人开立资金清算的专用账户，该账户由登记机构管理。</w:t>
      </w:r>
    </w:p>
    <w:p w14:paraId="1F17E51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2BB9331"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8.赎回和分红资金划拨规定</w:t>
      </w:r>
    </w:p>
    <w:p w14:paraId="210AACB9"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190FAAB"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9.资金指令</w:t>
      </w:r>
    </w:p>
    <w:p w14:paraId="21ED3436"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23F8B70A"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资金指令的格式、内容、发送、接收和确认方式等与投资指令相同。</w:t>
      </w:r>
    </w:p>
    <w:p w14:paraId="1792AFAF"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（四）申赎净额结算</w:t>
      </w:r>
    </w:p>
    <w:p w14:paraId="716A9720"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基金托管账户与“基金清算账户”间的资金结算遵循“全额清算、净额交收”的原则，每日(T日：资金交收日，下同)按照托管账户应收资金(T-2日申购申请对应申购金额与T-</w:t>
      </w:r>
      <w:r w:rsidRPr="00A4590A">
        <w:rPr>
          <w:rFonts w:asciiTheme="minorEastAsia" w:eastAsiaTheme="minorEastAsia" w:hAnsiTheme="minorEastAsia" w:cs="Arial"/>
          <w:sz w:val="24"/>
        </w:rPr>
        <w:t>2</w:t>
      </w:r>
      <w:r w:rsidRPr="00A4590A">
        <w:rPr>
          <w:rFonts w:asciiTheme="minorEastAsia" w:eastAsiaTheme="minorEastAsia" w:hAnsiTheme="minorEastAsia" w:cs="Arial" w:hint="eastAsia"/>
          <w:sz w:val="24"/>
        </w:rPr>
        <w:t>日基金转换入申请对应金额之和)与应付资金(T-</w:t>
      </w:r>
      <w:r w:rsidRPr="00A4590A">
        <w:rPr>
          <w:rFonts w:asciiTheme="minorEastAsia" w:eastAsiaTheme="minorEastAsia" w:hAnsiTheme="minorEastAsia" w:cs="Arial"/>
          <w:sz w:val="24"/>
        </w:rPr>
        <w:t>2</w:t>
      </w:r>
      <w:r w:rsidRPr="00A4590A">
        <w:rPr>
          <w:rFonts w:asciiTheme="minorEastAsia" w:eastAsiaTheme="minorEastAsia" w:hAnsiTheme="minorEastAsia" w:cs="Arial" w:hint="eastAsia"/>
          <w:sz w:val="24"/>
        </w:rPr>
        <w:t>日赎回申请对应赎回金额与T-</w:t>
      </w:r>
      <w:r w:rsidRPr="00A4590A">
        <w:rPr>
          <w:rFonts w:asciiTheme="minorEastAsia" w:eastAsiaTheme="minorEastAsia" w:hAnsiTheme="minorEastAsia" w:cs="Arial"/>
          <w:sz w:val="24"/>
        </w:rPr>
        <w:t>2</w:t>
      </w:r>
      <w:r w:rsidRPr="00A4590A">
        <w:rPr>
          <w:rFonts w:asciiTheme="minorEastAsia" w:eastAsiaTheme="minorEastAsia" w:hAnsiTheme="minorEastAsia" w:cs="Arial" w:hint="eastAsia"/>
          <w:sz w:val="24"/>
        </w:rPr>
        <w:t>日基金转换出申请对应金额之和)的差额来确定托管账户净应</w:t>
      </w:r>
      <w:r w:rsidRPr="00A4590A">
        <w:rPr>
          <w:rFonts w:asciiTheme="minorEastAsia" w:eastAsiaTheme="minorEastAsia" w:hAnsiTheme="minorEastAsia" w:cs="Arial" w:hint="eastAsia"/>
          <w:sz w:val="24"/>
        </w:rPr>
        <w:lastRenderedPageBreak/>
        <w:t>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21349C90"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本基金管理人经与基金托管人协商一致，可将上述应付资金中的“T-2日赎回申请对应赎回金额”调整为“T-4日赎回申请对应赎回金额”。</w:t>
      </w:r>
    </w:p>
    <w:p w14:paraId="7A67168D"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（五）基金转换</w:t>
      </w:r>
    </w:p>
    <w:p w14:paraId="5FD9220C"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1.在本基金与基金管理人管理的其它基金开展转换业务之前，基金管理人应函告基金托管人并就相关事宜进行协商。</w:t>
      </w:r>
    </w:p>
    <w:p w14:paraId="27FC05E5" w14:textId="77777777" w:rsidR="00D75768" w:rsidRPr="00A4590A" w:rsidRDefault="00D75768" w:rsidP="00A4590A">
      <w:pPr>
        <w:adjustRightInd w:val="0"/>
        <w:snapToGrid w:val="0"/>
        <w:spacing w:line="360" w:lineRule="auto"/>
        <w:ind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14:paraId="0A7AEC60" w14:textId="77777777" w:rsidR="00D75768" w:rsidRPr="00A4590A" w:rsidRDefault="00D75768" w:rsidP="00A4590A">
      <w:pPr>
        <w:adjustRightInd w:val="0"/>
        <w:snapToGrid w:val="0"/>
        <w:spacing w:line="360" w:lineRule="auto"/>
        <w:ind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3.本基金开展基金转换业务应按相关法律法规规定及《基金合同》的约定进行公告。</w:t>
      </w:r>
    </w:p>
    <w:p w14:paraId="28CACB9C" w14:textId="77777777" w:rsidR="00D75768" w:rsidRPr="00A4590A" w:rsidRDefault="00D75768" w:rsidP="00A4590A">
      <w:pPr>
        <w:adjustRightInd w:val="0"/>
        <w:snapToGrid w:val="0"/>
        <w:spacing w:line="360" w:lineRule="auto"/>
        <w:ind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（六）基金现金分红</w:t>
      </w:r>
    </w:p>
    <w:p w14:paraId="06F1E40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1.基金管理人确定分红方案通知基金托管人，双方核定后</w:t>
      </w:r>
      <w:r w:rsidRPr="00A4590A">
        <w:rPr>
          <w:rFonts w:asciiTheme="minorEastAsia" w:eastAsiaTheme="minorEastAsia" w:hAnsiTheme="minorEastAsia" w:hint="eastAsia"/>
          <w:sz w:val="24"/>
          <w:szCs w:val="18"/>
        </w:rPr>
        <w:t>依照《信息披露办法》的有关规定在中国证监会指定媒介上公告并</w:t>
      </w:r>
      <w:r w:rsidRPr="00A4590A">
        <w:rPr>
          <w:rFonts w:asciiTheme="minorEastAsia" w:eastAsiaTheme="minorEastAsia" w:hAnsiTheme="minorEastAsia" w:hint="eastAsia"/>
          <w:sz w:val="24"/>
        </w:rPr>
        <w:t>报中国证监会备案</w:t>
      </w:r>
      <w:r w:rsidRPr="00A4590A">
        <w:rPr>
          <w:rFonts w:asciiTheme="minorEastAsia" w:eastAsiaTheme="minorEastAsia" w:hAnsiTheme="minorEastAsia" w:cs="Arial" w:hint="eastAsia"/>
          <w:sz w:val="24"/>
        </w:rPr>
        <w:t>。</w:t>
      </w:r>
    </w:p>
    <w:p w14:paraId="08C4ED62"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05D3751D" w14:textId="77777777" w:rsidR="00D75768" w:rsidRPr="00A4590A" w:rsidRDefault="00D75768" w:rsidP="00A4590A">
      <w:pPr>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3.基金管理人在下达指令时，应给基金托管人留出必需的划款时间。</w:t>
      </w:r>
    </w:p>
    <w:p w14:paraId="1C4088F8" w14:textId="77777777" w:rsidR="00D75768" w:rsidRPr="00A4590A" w:rsidRDefault="00D75768" w:rsidP="00A4590A">
      <w:pPr>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（七）投资银行存款的特别约定</w:t>
      </w:r>
    </w:p>
    <w:p w14:paraId="72D344BE" w14:textId="77777777" w:rsidR="00D75768" w:rsidRPr="00A4590A" w:rsidRDefault="00D75768" w:rsidP="00A4590A">
      <w:pPr>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1.本基金投资银行存款前，基金管理人应与存款银行签订具体存款协议，包括但不限于以下内容：</w:t>
      </w:r>
    </w:p>
    <w:p w14:paraId="2E012523" w14:textId="77777777" w:rsidR="00D75768" w:rsidRPr="00A4590A" w:rsidRDefault="00D75768" w:rsidP="00A4590A">
      <w:pPr>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14:paraId="7CFA69C8" w14:textId="77777777" w:rsidR="00D75768" w:rsidRPr="00A4590A" w:rsidRDefault="00D75768" w:rsidP="00A4590A">
      <w:pPr>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（2）存款银行不得接受基金管理人或基金托管人任何一方单方面提出的对存款进行更名、转让、挂失、质押、担保、撤销、变更印鉴及回款账户信息等可能导致财产转移的操作申请。</w:t>
      </w:r>
    </w:p>
    <w:p w14:paraId="2DB91518" w14:textId="77777777" w:rsidR="00D75768" w:rsidRPr="00A4590A" w:rsidRDefault="00D75768" w:rsidP="00A4590A">
      <w:pPr>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（3）约定存款证实书的具体传递交接方式及交接期限。</w:t>
      </w:r>
    </w:p>
    <w:p w14:paraId="306B01E0" w14:textId="77777777" w:rsidR="00D75768" w:rsidRPr="00A4590A" w:rsidRDefault="00D75768" w:rsidP="00A4590A">
      <w:pPr>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lastRenderedPageBreak/>
        <w:t>（4）资金划转过程中需要使用存款银行过渡账户的，存款银行须保证资金在过渡账户中不出现滞留，不被挪用。</w:t>
      </w:r>
    </w:p>
    <w:p w14:paraId="1433C52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11EDCF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80F658B"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86" w:name="_Toc124325892"/>
      <w:r w:rsidRPr="00A4590A">
        <w:rPr>
          <w:rFonts w:asciiTheme="minorEastAsia" w:eastAsiaTheme="minorEastAsia" w:hAnsiTheme="minorEastAsia" w:hint="eastAsia"/>
          <w:sz w:val="30"/>
        </w:rPr>
        <w:t xml:space="preserve"> 八、基金资产净值计算和会计核算</w:t>
      </w:r>
      <w:bookmarkEnd w:id="86"/>
    </w:p>
    <w:p w14:paraId="41B7445C"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（一）基金资产净值的计算、复核与完成的时间及程序</w:t>
      </w:r>
    </w:p>
    <w:p w14:paraId="2EC6667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1.基金资产净值是指基金资产总值减去基金负债后的价值。基金份额净值是按照每个工作日闭市后，基金资产净值除以当日发售在外的基金份额的余额数量计算，精确到0.00</w:t>
      </w:r>
      <w:r w:rsidRPr="00A4590A">
        <w:rPr>
          <w:rFonts w:asciiTheme="minorEastAsia" w:eastAsiaTheme="minorEastAsia" w:hAnsiTheme="minorEastAsia" w:cs="Arial"/>
          <w:sz w:val="24"/>
        </w:rPr>
        <w:t>0</w:t>
      </w:r>
      <w:r w:rsidRPr="00A4590A">
        <w:rPr>
          <w:rFonts w:asciiTheme="minorEastAsia" w:eastAsiaTheme="minorEastAsia" w:hAnsiTheme="minorEastAsia" w:cs="Arial" w:hint="eastAsia"/>
          <w:sz w:val="24"/>
        </w:rPr>
        <w:t>1元，小数点后第</w:t>
      </w:r>
      <w:r w:rsidRPr="00A4590A">
        <w:rPr>
          <w:rFonts w:asciiTheme="minorEastAsia" w:eastAsiaTheme="minorEastAsia" w:hAnsiTheme="minorEastAsia" w:cs="Arial"/>
          <w:sz w:val="24"/>
        </w:rPr>
        <w:t>五</w:t>
      </w:r>
      <w:r w:rsidRPr="00A4590A">
        <w:rPr>
          <w:rFonts w:asciiTheme="minorEastAsia" w:eastAsiaTheme="minorEastAsia" w:hAnsiTheme="minorEastAsia" w:cs="Arial" w:hint="eastAsia"/>
          <w:sz w:val="24"/>
        </w:rPr>
        <w:t>位四舍五入。国家另有规定的，从其规定。</w:t>
      </w:r>
    </w:p>
    <w:p w14:paraId="0C55FCC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基金管理人每个工作日计算基金资产净值及基金份额净值，并按规定公告。</w:t>
      </w:r>
    </w:p>
    <w:p w14:paraId="59CE7F4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按规定对外公布。</w:t>
      </w:r>
    </w:p>
    <w:p w14:paraId="61F5E112" w14:textId="77777777" w:rsidR="00D75768" w:rsidRPr="00A4590A" w:rsidRDefault="00D75768" w:rsidP="00A4590A">
      <w:pPr>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（二）基金资产估值方法和特殊情形的处理</w:t>
      </w:r>
    </w:p>
    <w:p w14:paraId="30C8494E"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1.估值对象</w:t>
      </w:r>
    </w:p>
    <w:p w14:paraId="0EB1000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基金所拥有的股票、权证、债券和银行存款本息、应收款项、股指期货合约、国债期货合约、股票期权合约、其它投资等资产及负债。</w:t>
      </w:r>
    </w:p>
    <w:p w14:paraId="375B5D2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2.估值方法</w:t>
      </w:r>
    </w:p>
    <w:p w14:paraId="4711224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本基金所持有的投资品种，按如下原则进行估值 ：</w:t>
      </w:r>
    </w:p>
    <w:p w14:paraId="775D668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（1）证券交易所上市的有价证券的估值</w:t>
      </w:r>
    </w:p>
    <w:p w14:paraId="5532DCE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①交易所上市的有价证券（包括股票、权证等），以其估值日在证券交易所挂</w:t>
      </w:r>
      <w:r w:rsidRPr="00A4590A">
        <w:rPr>
          <w:rFonts w:asciiTheme="minorEastAsia" w:eastAsiaTheme="minorEastAsia" w:hAnsiTheme="minorEastAsia" w:cs="Arial" w:hint="eastAsia"/>
          <w:sz w:val="24"/>
        </w:rPr>
        <w:lastRenderedPageBreak/>
        <w:t>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B5142A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②交易所上市交易或挂牌转让的固定收益品种（基金合同另有规定的除外），选取估值日第三方估值机构提供的相应品种对应的估值净价估值。</w:t>
      </w:r>
    </w:p>
    <w:p w14:paraId="1776545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③对在交易所市场上市交易的可转换债券，</w:t>
      </w:r>
      <w:r w:rsidRPr="00A4590A">
        <w:rPr>
          <w:rFonts w:asciiTheme="minorEastAsia" w:eastAsiaTheme="minorEastAsia" w:hAnsiTheme="minorEastAsia" w:cs="Arial"/>
          <w:sz w:val="24"/>
        </w:rPr>
        <w:t>选取</w:t>
      </w:r>
      <w:r w:rsidRPr="00A4590A">
        <w:rPr>
          <w:rFonts w:asciiTheme="minorEastAsia" w:eastAsiaTheme="minorEastAsia" w:hAnsiTheme="minorEastAsia" w:cs="Arial" w:hint="eastAsia"/>
          <w:sz w:val="24"/>
        </w:rPr>
        <w:t>每日收盘价作为估值全价。</w:t>
      </w:r>
    </w:p>
    <w:p w14:paraId="318D468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④交易所上市不存在活跃市场的有价证券，采用估值技术确定公允价值。交易所上市的资产支持证券，采用估值技术确定公允价值，在估值技术难以可靠计量公允价值的情况下，按成本估值。</w:t>
      </w:r>
    </w:p>
    <w:p w14:paraId="13D744C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（2）处于未上市期间的有价证券应区分如下情况处理：</w:t>
      </w:r>
    </w:p>
    <w:p w14:paraId="4475F4F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①送股、转增股、配股和公开增发的新股，按估值日在证券交易所挂牌的同一股票的估值方法估值；该日无交易的，以最近一日的市价（收盘价）估值；</w:t>
      </w:r>
    </w:p>
    <w:p w14:paraId="7C4442F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②首次公开发行未上市的股票和权证，采用估值技术确定公允价值，在估值技术难以可靠计量公允价值的情况下，按成本估值；</w:t>
      </w:r>
    </w:p>
    <w:p w14:paraId="61C9A1E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0F55AA6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④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4764EA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w:t>
      </w:r>
      <w:r w:rsidRPr="00A4590A">
        <w:rPr>
          <w:rFonts w:asciiTheme="minorEastAsia" w:eastAsiaTheme="minorEastAsia" w:hAnsiTheme="minorEastAsia" w:cs="Arial" w:hint="eastAsia"/>
          <w:sz w:val="24"/>
        </w:rPr>
        <w:lastRenderedPageBreak/>
        <w:t>值价格的债券，在发行利率与二级市场利率不存在明显差异，未上市期间市场利率没有发生大的变动的情况下，按成本估值。</w:t>
      </w:r>
    </w:p>
    <w:p w14:paraId="29B49A2A"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（4）同一债券或股票同时在两个或两个以上市场交易的，按债券或股票所处的市场分别估值。</w:t>
      </w:r>
    </w:p>
    <w:p w14:paraId="108AFEE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（5）中小企业私募债券采用估值技术确定公允价值，估值技术难以确定和计量其公允价值的，按成本估值。</w:t>
      </w:r>
    </w:p>
    <w:p w14:paraId="3F617587"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（6）同业存单按估值日第三方估值机构提供的估值净价估值；选定的第三方估值机构未提供估值价格的，按成本估值。</w:t>
      </w:r>
    </w:p>
    <w:p w14:paraId="18E689D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（7）本基金投资股指期货合约，一般以股指期货当日结算价进行估值，估值当日无结算价的，且最近交易日后经济环境未发生重大变化的，采用最近交易日结算价估值。</w:t>
      </w:r>
    </w:p>
    <w:p w14:paraId="5F42059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（8）本基金投资股票期权合约，一般以股票期权当日结算价进行估值，估值当日无结算价的，且最近交易日后经济环境未发生重大变化的，采用最近交易日结算价估值。</w:t>
      </w:r>
    </w:p>
    <w:p w14:paraId="02DD7CE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（9）国债期货合约以估值日的结算价估值。估值当日无结算价的，且最近交易日后经济环境未发生重大变化的，采用最近交易日结算价估值。如法律法规今后另有规定的，从其规定。</w:t>
      </w:r>
    </w:p>
    <w:p w14:paraId="060E485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10）估值计算中涉及港币或其他外币币种对人民币汇率的，将依据下列信息提供机构所提供的汇率为基准：当日中国人民银行或其授权机构公布的人民币汇率的中间价，或其他可以反映公允价值的汇率进行估值。</w:t>
      </w:r>
    </w:p>
    <w:p w14:paraId="6CFB27C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（11）当本基金发生大额申购或赎回情形时，基金管理人可以采用摆动定价机制，以确保基金估值的公平性。</w:t>
      </w:r>
    </w:p>
    <w:p w14:paraId="7A32B24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（12）如有确凿证据表明按上述方法进行估值不能客观反映其公允价值的，基金管理人可根据具体情况与基金托管人商定后，按最能反映公允价值的价格估值。</w:t>
      </w:r>
    </w:p>
    <w:p w14:paraId="05EE8EE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w:t>
      </w:r>
      <w:r w:rsidRPr="00A4590A">
        <w:rPr>
          <w:rFonts w:asciiTheme="minorEastAsia" w:eastAsiaTheme="minorEastAsia" w:hAnsiTheme="minorEastAsia" w:cs="Arial"/>
          <w:sz w:val="24"/>
        </w:rPr>
        <w:t>3</w:t>
      </w:r>
      <w:r w:rsidRPr="00A4590A">
        <w:rPr>
          <w:rFonts w:asciiTheme="minorEastAsia" w:eastAsiaTheme="minorEastAsia" w:hAnsiTheme="minorEastAsia" w:cs="Arial" w:hint="eastAsia"/>
          <w:sz w:val="24"/>
        </w:rPr>
        <w:t>）相关法律法规以及监管部门有强制规定的，从其规定。如有新增事项，按国家最新规定估值。</w:t>
      </w:r>
    </w:p>
    <w:p w14:paraId="2BEC5164"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3FB2247" w14:textId="77777777" w:rsidR="00D75768" w:rsidRPr="00A4590A" w:rsidRDefault="00D75768" w:rsidP="00A4590A">
      <w:pPr>
        <w:adjustRightInd w:val="0"/>
        <w:snapToGrid w:val="0"/>
        <w:spacing w:line="360" w:lineRule="auto"/>
        <w:ind w:firstLine="480"/>
        <w:rPr>
          <w:rFonts w:asciiTheme="minorEastAsia" w:eastAsiaTheme="minorEastAsia" w:hAnsiTheme="minorEastAsia"/>
          <w:sz w:val="24"/>
          <w:szCs w:val="21"/>
        </w:rPr>
      </w:pPr>
      <w:r w:rsidRPr="00A4590A">
        <w:rPr>
          <w:rFonts w:asciiTheme="minorEastAsia" w:eastAsiaTheme="minorEastAsia" w:hAnsiTheme="minorEastAsia" w:hint="eastAsia"/>
          <w:sz w:val="24"/>
          <w:szCs w:val="21"/>
        </w:rPr>
        <w:t>根据有关法律法规，基金资产净值计算和基金会计核算的义务由基金管理人</w:t>
      </w:r>
      <w:r w:rsidRPr="00A4590A">
        <w:rPr>
          <w:rFonts w:asciiTheme="minorEastAsia" w:eastAsiaTheme="minorEastAsia" w:hAnsiTheme="minorEastAsia" w:hint="eastAsia"/>
          <w:sz w:val="24"/>
          <w:szCs w:val="21"/>
        </w:rPr>
        <w:lastRenderedPageBreak/>
        <w:t>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45EB310" w14:textId="77777777" w:rsidR="00D75768" w:rsidRPr="00A4590A" w:rsidRDefault="00D75768" w:rsidP="00A4590A">
      <w:pPr>
        <w:adjustRightInd w:val="0"/>
        <w:snapToGrid w:val="0"/>
        <w:spacing w:line="360" w:lineRule="auto"/>
        <w:ind w:firstLine="480"/>
        <w:rPr>
          <w:rStyle w:val="read"/>
          <w:rFonts w:asciiTheme="minorEastAsia" w:eastAsiaTheme="minorEastAsia" w:hAnsiTheme="minorEastAsia" w:cs="Arial"/>
          <w:sz w:val="24"/>
        </w:rPr>
      </w:pPr>
      <w:r w:rsidRPr="00A4590A">
        <w:rPr>
          <w:rStyle w:val="read"/>
          <w:rFonts w:asciiTheme="minorEastAsia" w:eastAsiaTheme="minorEastAsia" w:hAnsiTheme="minorEastAsia" w:cs="Arial" w:hint="eastAsia"/>
          <w:sz w:val="24"/>
        </w:rPr>
        <w:t>3.特殊情形的处理</w:t>
      </w:r>
    </w:p>
    <w:p w14:paraId="700872A2" w14:textId="77777777" w:rsidR="00D75768" w:rsidRPr="00A4590A" w:rsidRDefault="00D75768" w:rsidP="00A4590A">
      <w:pPr>
        <w:adjustRightInd w:val="0"/>
        <w:snapToGrid w:val="0"/>
        <w:spacing w:line="360" w:lineRule="auto"/>
        <w:ind w:firstLineChars="200" w:firstLine="480"/>
        <w:rPr>
          <w:rStyle w:val="read"/>
          <w:rFonts w:asciiTheme="minorEastAsia" w:eastAsiaTheme="minorEastAsia" w:hAnsiTheme="minorEastAsia"/>
          <w:sz w:val="24"/>
        </w:rPr>
      </w:pPr>
      <w:r w:rsidRPr="00A4590A">
        <w:rPr>
          <w:rStyle w:val="read"/>
          <w:rFonts w:asciiTheme="minorEastAsia" w:eastAsiaTheme="minorEastAsia" w:hAnsiTheme="minorEastAsia" w:cs="Arial" w:hint="eastAsia"/>
          <w:sz w:val="24"/>
        </w:rPr>
        <w:t>基金管理人、基金托管人按估值方法的第(</w:t>
      </w:r>
      <w:r w:rsidRPr="00A4590A">
        <w:rPr>
          <w:rStyle w:val="read"/>
          <w:rFonts w:asciiTheme="minorEastAsia" w:eastAsiaTheme="minorEastAsia" w:hAnsiTheme="minorEastAsia" w:cs="Arial"/>
          <w:sz w:val="24"/>
        </w:rPr>
        <w:t>12</w:t>
      </w:r>
      <w:r w:rsidRPr="00A4590A">
        <w:rPr>
          <w:rStyle w:val="read"/>
          <w:rFonts w:asciiTheme="minorEastAsia" w:eastAsiaTheme="minorEastAsia" w:hAnsiTheme="minorEastAsia" w:cs="Arial" w:hint="eastAsia"/>
          <w:sz w:val="24"/>
        </w:rPr>
        <w:t>)项进行估值时，所造成的误差不作为基金份</w:t>
      </w:r>
      <w:r w:rsidRPr="00A4590A">
        <w:rPr>
          <w:rStyle w:val="read"/>
          <w:rFonts w:asciiTheme="minorEastAsia" w:eastAsiaTheme="minorEastAsia" w:hAnsiTheme="minorEastAsia" w:hint="eastAsia"/>
          <w:sz w:val="24"/>
        </w:rPr>
        <w:t>额净值错误处理。</w:t>
      </w:r>
    </w:p>
    <w:p w14:paraId="0F229A94" w14:textId="77777777" w:rsidR="00D75768" w:rsidRPr="00A4590A" w:rsidRDefault="00D75768" w:rsidP="00A4590A">
      <w:pPr>
        <w:adjustRightInd w:val="0"/>
        <w:snapToGrid w:val="0"/>
        <w:spacing w:line="360" w:lineRule="auto"/>
        <w:ind w:firstLineChars="200" w:firstLine="480"/>
        <w:rPr>
          <w:rStyle w:val="read"/>
          <w:rFonts w:asciiTheme="minorEastAsia" w:eastAsiaTheme="minorEastAsia" w:hAnsiTheme="minorEastAsia"/>
          <w:sz w:val="24"/>
        </w:rPr>
      </w:pPr>
      <w:r w:rsidRPr="00A4590A">
        <w:rPr>
          <w:rStyle w:val="read"/>
          <w:rFonts w:asciiTheme="minorEastAsia" w:eastAsiaTheme="minorEastAsia" w:hAnsiTheme="minorEastAsia" w:hint="eastAsia"/>
          <w:sz w:val="24"/>
        </w:rPr>
        <w:t>（三）基金份额净值错误的处理方式</w:t>
      </w:r>
    </w:p>
    <w:p w14:paraId="3D90DEA2" w14:textId="77777777" w:rsidR="00D75768" w:rsidRPr="00A4590A" w:rsidRDefault="00D75768" w:rsidP="00A4590A">
      <w:pPr>
        <w:adjustRightInd w:val="0"/>
        <w:snapToGrid w:val="0"/>
        <w:spacing w:line="360" w:lineRule="auto"/>
        <w:ind w:firstLineChars="200" w:firstLine="480"/>
        <w:rPr>
          <w:rStyle w:val="read"/>
          <w:rFonts w:asciiTheme="minorEastAsia" w:eastAsiaTheme="minorEastAsia" w:hAnsiTheme="minorEastAsia"/>
          <w:sz w:val="24"/>
        </w:rPr>
      </w:pPr>
      <w:r w:rsidRPr="00A4590A">
        <w:rPr>
          <w:rStyle w:val="read"/>
          <w:rFonts w:asciiTheme="minorEastAsia" w:eastAsiaTheme="minorEastAsia" w:hAnsiTheme="minorEastAsia" w:hint="eastAsia"/>
          <w:sz w:val="24"/>
        </w:rPr>
        <w:t>1.当基金份额净值小数点后</w:t>
      </w:r>
      <w:r w:rsidRPr="00A4590A">
        <w:rPr>
          <w:rStyle w:val="read"/>
          <w:rFonts w:asciiTheme="minorEastAsia" w:eastAsiaTheme="minorEastAsia" w:hAnsiTheme="minorEastAsia"/>
          <w:sz w:val="24"/>
        </w:rPr>
        <w:t>4</w:t>
      </w:r>
      <w:r w:rsidRPr="00A4590A">
        <w:rPr>
          <w:rStyle w:val="read"/>
          <w:rFonts w:asciiTheme="minorEastAsia" w:eastAsiaTheme="minorEastAsia" w:hAnsiTheme="minorEastAsia" w:hint="eastAsia"/>
          <w:sz w:val="24"/>
        </w:rPr>
        <w:t>位以内(含第</w:t>
      </w:r>
      <w:r w:rsidRPr="00A4590A">
        <w:rPr>
          <w:rStyle w:val="read"/>
          <w:rFonts w:asciiTheme="minorEastAsia" w:eastAsiaTheme="minorEastAsia" w:hAnsiTheme="minorEastAsia"/>
          <w:sz w:val="24"/>
        </w:rPr>
        <w:t>4</w:t>
      </w:r>
      <w:r w:rsidRPr="00A4590A">
        <w:rPr>
          <w:rStyle w:val="read"/>
          <w:rFonts w:asciiTheme="minorEastAsia" w:eastAsiaTheme="minorEastAsia" w:hAnsiTheme="minorEastAsia"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A4590A">
        <w:rPr>
          <w:rFonts w:asciiTheme="minorEastAsia" w:eastAsiaTheme="minorEastAsia" w:hAnsiTheme="minorEastAsia" w:cs="Arial" w:hint="eastAsia"/>
          <w:sz w:val="24"/>
        </w:rPr>
        <w:t>；错误偏差达到基金份额净值的</w:t>
      </w:r>
      <w:r w:rsidRPr="00A4590A">
        <w:rPr>
          <w:rFonts w:asciiTheme="minorEastAsia" w:eastAsiaTheme="minorEastAsia" w:hAnsiTheme="minorEastAsia" w:hint="eastAsia"/>
          <w:sz w:val="24"/>
        </w:rPr>
        <w:t>0.5%时，基金管理人应当公告</w:t>
      </w:r>
      <w:r w:rsidRPr="00A4590A">
        <w:rPr>
          <w:rStyle w:val="read"/>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79B9AF89" w14:textId="77777777" w:rsidR="00D75768" w:rsidRPr="00A4590A" w:rsidRDefault="00D75768" w:rsidP="00A4590A">
      <w:pPr>
        <w:adjustRightInd w:val="0"/>
        <w:snapToGrid w:val="0"/>
        <w:spacing w:line="360" w:lineRule="auto"/>
        <w:ind w:firstLineChars="200" w:firstLine="480"/>
        <w:rPr>
          <w:rStyle w:val="read"/>
          <w:rFonts w:asciiTheme="minorEastAsia" w:eastAsiaTheme="minorEastAsia" w:hAnsiTheme="minorEastAsia"/>
          <w:sz w:val="24"/>
        </w:rPr>
      </w:pPr>
      <w:r w:rsidRPr="00A4590A">
        <w:rPr>
          <w:rStyle w:val="read"/>
          <w:rFonts w:asciiTheme="minorEastAsia" w:eastAsia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63900DE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Style w:val="read"/>
          <w:rFonts w:asciiTheme="minorEastAsia" w:eastAsia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A4590A">
        <w:rPr>
          <w:rFonts w:asciiTheme="minorEastAsia" w:eastAsiaTheme="minorEastAsia" w:hAnsiTheme="minorEastAsia" w:cs="Arial" w:hint="eastAsia"/>
          <w:sz w:val="24"/>
        </w:rPr>
        <w:t>损失，由基金管理人负责赔付。</w:t>
      </w:r>
    </w:p>
    <w:p w14:paraId="28736AB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w:t>
      </w:r>
      <w:r w:rsidRPr="00A4590A">
        <w:rPr>
          <w:rFonts w:asciiTheme="minorEastAsia" w:eastAsia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ED1764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4B3311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w:t>
      </w:r>
      <w:r w:rsidRPr="00A4590A">
        <w:rPr>
          <w:rFonts w:asciiTheme="minorEastAsia" w:eastAsiaTheme="minorEastAsia" w:hAnsiTheme="minorEastAsia" w:hint="eastAsia"/>
          <w:kern w:val="0"/>
          <w:sz w:val="24"/>
        </w:rPr>
        <w:t>由于基金管理人提供的信息错误（包括但不限于基金申购或赎回金额等），</w:t>
      </w:r>
      <w:r w:rsidRPr="00A4590A">
        <w:rPr>
          <w:rFonts w:asciiTheme="minorEastAsia" w:eastAsiaTheme="minorEastAsia" w:hAnsiTheme="minorEastAsia" w:hint="eastAsia"/>
          <w:kern w:val="0"/>
          <w:sz w:val="24"/>
        </w:rPr>
        <w:lastRenderedPageBreak/>
        <w:t>进而导致基金份额净值计算错误而引起的基金份额持有人和基金财产的损失，由基金管理人负责赔付。</w:t>
      </w:r>
    </w:p>
    <w:p w14:paraId="196E710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由于证券/期货交易所及登记结算公司发送的数据错误，或由于不可抗力等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3CF4071E"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4.基金管理人和基金托管人由于各自技术系统设置而产生的净值计算尾差，以基金管理人计算结果为准。</w:t>
      </w:r>
    </w:p>
    <w:p w14:paraId="78C1EC5A"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42952C76"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（四）暂停估值与公告基金份额净值的情形</w:t>
      </w:r>
    </w:p>
    <w:p w14:paraId="6FD776C4"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1.基金投资所涉及的证券/期货交易市场遇法定节假日或因其他原因暂停营业时；</w:t>
      </w:r>
    </w:p>
    <w:p w14:paraId="37F43D7B"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2.因不可抗力致使基金管理人、基金托管人无法准确评估基金资产价值时；</w:t>
      </w:r>
    </w:p>
    <w:p w14:paraId="2FE77053"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3.当前一估值日基金资产净值50%以上的资产出现无可参考的活跃市场价格且采用估值技术仍导致公允价值存在重大不确定性，并经与基金托管人协商确认后，基金管理人应当暂停估值；</w:t>
      </w:r>
    </w:p>
    <w:p w14:paraId="5CCCF56B"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4.中国证监会和《基金合同》认定的其他情形。</w:t>
      </w:r>
    </w:p>
    <w:p w14:paraId="3DEFFED6"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（五）基金会计制度</w:t>
      </w:r>
    </w:p>
    <w:p w14:paraId="3B101FF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按国家有关部门规定的会计制度执行。</w:t>
      </w:r>
    </w:p>
    <w:p w14:paraId="74A77130"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（六）基金账册的建立</w:t>
      </w:r>
    </w:p>
    <w:p w14:paraId="56AE478E"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6FBFC02"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（七）基金财务报表与报告的编制和复核</w:t>
      </w:r>
    </w:p>
    <w:p w14:paraId="3BFFC85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1.财务报表的编制</w:t>
      </w:r>
    </w:p>
    <w:p w14:paraId="5EB6B0D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基金财务报表由基金管理人编制，基金托管人复核。</w:t>
      </w:r>
    </w:p>
    <w:p w14:paraId="21ABEBA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lastRenderedPageBreak/>
        <w:t>2.报表复核</w:t>
      </w:r>
    </w:p>
    <w:p w14:paraId="5B7BFF3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3EFADED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3.财务报表的编制与复核时间安排</w:t>
      </w:r>
    </w:p>
    <w:p w14:paraId="39447DC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(1)报表的编制</w:t>
      </w:r>
    </w:p>
    <w:p w14:paraId="13993B2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应当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787FA33B" w14:textId="77777777" w:rsidR="00D75768" w:rsidRPr="00A4590A" w:rsidRDefault="00D75768" w:rsidP="00A4590A">
      <w:pPr>
        <w:pStyle w:val="a0"/>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(2)报表的复核</w:t>
      </w:r>
    </w:p>
    <w:p w14:paraId="53A5FAA1" w14:textId="77777777" w:rsidR="00D75768" w:rsidRPr="00A4590A" w:rsidRDefault="00D75768" w:rsidP="00A4590A">
      <w:pPr>
        <w:pStyle w:val="a0"/>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8CD76B" w14:textId="77777777" w:rsidR="00D75768" w:rsidRPr="00A4590A" w:rsidRDefault="00D75768" w:rsidP="00A4590A">
      <w:pPr>
        <w:pStyle w:val="a0"/>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基金管理人应留足充分的时间，便于基金托管人复核相关报表及报告。</w:t>
      </w:r>
    </w:p>
    <w:p w14:paraId="3330F10C" w14:textId="77777777" w:rsidR="00D75768" w:rsidRPr="00A4590A" w:rsidRDefault="00D75768" w:rsidP="00A4590A">
      <w:pPr>
        <w:pStyle w:val="a0"/>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（八）基金管理人应在编制季度报告、半年度报告或者年度报告之前及时向基金托管人提供基金业绩比较基准的基础数据和编制结果。</w:t>
      </w:r>
    </w:p>
    <w:p w14:paraId="779C36A4" w14:textId="77777777" w:rsidR="00D75768" w:rsidRPr="00A4590A" w:rsidRDefault="00D75768" w:rsidP="00A4590A">
      <w:pPr>
        <w:pStyle w:val="a0"/>
        <w:adjustRightInd w:val="0"/>
        <w:snapToGrid w:val="0"/>
        <w:spacing w:line="360" w:lineRule="auto"/>
        <w:ind w:firstLineChars="0" w:firstLine="0"/>
        <w:rPr>
          <w:rFonts w:asciiTheme="minorEastAsia" w:eastAsiaTheme="minorEastAsia" w:hAnsiTheme="minorEastAsia" w:cs="Arial"/>
          <w:sz w:val="24"/>
        </w:rPr>
      </w:pPr>
    </w:p>
    <w:p w14:paraId="3EE93740"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87" w:name="_Toc124325893"/>
      <w:r w:rsidRPr="00A4590A">
        <w:rPr>
          <w:rFonts w:asciiTheme="minorEastAsia" w:eastAsiaTheme="minorEastAsia" w:hAnsiTheme="minorEastAsia" w:hint="eastAsia"/>
          <w:sz w:val="30"/>
        </w:rPr>
        <w:t>九、基金收益分配</w:t>
      </w:r>
      <w:bookmarkEnd w:id="87"/>
    </w:p>
    <w:p w14:paraId="13F96DE4" w14:textId="77777777" w:rsidR="00D75768" w:rsidRPr="00A4590A" w:rsidRDefault="00D75768" w:rsidP="00A4590A">
      <w:pPr>
        <w:adjustRightInd w:val="0"/>
        <w:snapToGrid w:val="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（一）基金利润的构成</w:t>
      </w:r>
    </w:p>
    <w:p w14:paraId="62F97CEC" w14:textId="77777777" w:rsidR="00D75768" w:rsidRPr="00A4590A" w:rsidRDefault="00D75768" w:rsidP="00A4590A">
      <w:pPr>
        <w:spacing w:line="360" w:lineRule="auto"/>
        <w:ind w:firstLine="480"/>
        <w:rPr>
          <w:rFonts w:asciiTheme="minorEastAsia" w:eastAsiaTheme="minorEastAsia" w:hAnsiTheme="minorEastAsia"/>
          <w:sz w:val="24"/>
        </w:rPr>
      </w:pPr>
      <w:r w:rsidRPr="00A4590A">
        <w:rPr>
          <w:rFonts w:asciiTheme="minorEastAsia" w:eastAsiaTheme="minorEastAsia" w:hAnsiTheme="minorEastAsia" w:hint="eastAsia"/>
          <w:sz w:val="24"/>
        </w:rPr>
        <w:t>基金利润指基金利息收入、投资收益、公允价值变动收益和其他收入扣除相关费用后的余额，基金已实现收益指基金利润减去公允价值变动收益后的余额。</w:t>
      </w:r>
    </w:p>
    <w:p w14:paraId="183A5350" w14:textId="77777777" w:rsidR="00D75768" w:rsidRPr="00A4590A" w:rsidRDefault="00D75768" w:rsidP="00A4590A">
      <w:pPr>
        <w:spacing w:line="360" w:lineRule="auto"/>
        <w:ind w:firstLine="480"/>
        <w:rPr>
          <w:rFonts w:asciiTheme="minorEastAsia" w:eastAsiaTheme="minorEastAsia" w:hAnsiTheme="minorEastAsia"/>
          <w:sz w:val="24"/>
        </w:rPr>
      </w:pPr>
      <w:r w:rsidRPr="00A4590A">
        <w:rPr>
          <w:rFonts w:asciiTheme="minorEastAsia" w:eastAsiaTheme="minorEastAsia" w:hAnsiTheme="minorEastAsia" w:hint="eastAsia"/>
          <w:sz w:val="24"/>
        </w:rPr>
        <w:t>（二）基金可供分配利润</w:t>
      </w:r>
    </w:p>
    <w:p w14:paraId="109AD4EB" w14:textId="77777777" w:rsidR="00D75768" w:rsidRPr="00A4590A" w:rsidRDefault="00D75768" w:rsidP="00A4590A">
      <w:pPr>
        <w:spacing w:line="360" w:lineRule="auto"/>
        <w:ind w:firstLine="480"/>
        <w:rPr>
          <w:rFonts w:asciiTheme="minorEastAsia" w:eastAsiaTheme="minorEastAsia" w:hAnsiTheme="minorEastAsia"/>
          <w:sz w:val="24"/>
        </w:rPr>
      </w:pPr>
      <w:r w:rsidRPr="00A4590A">
        <w:rPr>
          <w:rFonts w:asciiTheme="minorEastAsia" w:eastAsiaTheme="minorEastAsia" w:hAnsiTheme="minorEastAsia"/>
          <w:sz w:val="24"/>
        </w:rPr>
        <w:t>基金可供分配利润指截至收益分配基准日基金未分配利润与未分配利润中已实现收益的孰低数</w:t>
      </w:r>
      <w:r w:rsidRPr="00A4590A">
        <w:rPr>
          <w:rFonts w:asciiTheme="minorEastAsia" w:eastAsiaTheme="minorEastAsia" w:hAnsiTheme="minorEastAsia" w:hint="eastAsia"/>
          <w:sz w:val="24"/>
        </w:rPr>
        <w:t>。</w:t>
      </w:r>
    </w:p>
    <w:p w14:paraId="1EE6FF55" w14:textId="77777777" w:rsidR="00D75768" w:rsidRPr="00A4590A" w:rsidRDefault="00D75768" w:rsidP="00A4590A">
      <w:pPr>
        <w:spacing w:line="360" w:lineRule="auto"/>
        <w:ind w:firstLine="480"/>
        <w:rPr>
          <w:rFonts w:asciiTheme="minorEastAsia" w:eastAsiaTheme="minorEastAsia" w:hAnsiTheme="minorEastAsia"/>
          <w:sz w:val="24"/>
        </w:rPr>
      </w:pPr>
      <w:r w:rsidRPr="00A4590A">
        <w:rPr>
          <w:rFonts w:asciiTheme="minorEastAsia" w:eastAsiaTheme="minorEastAsia" w:hAnsiTheme="minorEastAsia" w:hint="eastAsia"/>
          <w:sz w:val="24"/>
        </w:rPr>
        <w:t>（三）基金收益分配的原则</w:t>
      </w:r>
    </w:p>
    <w:p w14:paraId="1EDE300E"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基金收益分配应遵循下列原则：</w:t>
      </w:r>
    </w:p>
    <w:p w14:paraId="4CE64A33"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1.每一基金份额享有同等分配权；</w:t>
      </w:r>
    </w:p>
    <w:p w14:paraId="39B95A73"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lastRenderedPageBreak/>
        <w:t>2.本基金收益分配方式分为两种：</w:t>
      </w:r>
      <w:r w:rsidRPr="00A4590A">
        <w:rPr>
          <w:rFonts w:asciiTheme="minorEastAsia" w:eastAsiaTheme="minorEastAsia" w:hAnsiTheme="minorEastAsia" w:cs="Arial"/>
          <w:bCs/>
          <w:sz w:val="24"/>
        </w:rPr>
        <w:t>现金分红与红利再投资</w:t>
      </w:r>
      <w:r w:rsidRPr="00A4590A">
        <w:rPr>
          <w:rFonts w:asciiTheme="minorEastAsia" w:eastAsiaTheme="minorEastAsia" w:hAnsiTheme="minorEastAsia" w:cs="Arial" w:hint="eastAsia"/>
          <w:bCs/>
          <w:sz w:val="24"/>
        </w:rPr>
        <w:t>。</w:t>
      </w:r>
      <w:r w:rsidRPr="00A4590A">
        <w:rPr>
          <w:rFonts w:asciiTheme="minorEastAsia" w:eastAsiaTheme="minorEastAsia" w:hAnsiTheme="minorEastAsia" w:cs="Arial" w:hint="eastAsia"/>
          <w:sz w:val="24"/>
        </w:rPr>
        <w:t>登记在基金份额持有人开放式基金账户下的基金份额，投资者可选择现金红利或将现金红利自动转为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14:paraId="16CFB20A"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sz w:val="24"/>
        </w:rPr>
        <w:t>3</w:t>
      </w:r>
      <w:r w:rsidRPr="00A4590A">
        <w:rPr>
          <w:rFonts w:asciiTheme="minorEastAsia" w:eastAsiaTheme="minorEastAsia" w:hAnsiTheme="minorEastAsia" w:cs="Arial" w:hint="eastAsia"/>
          <w:sz w:val="24"/>
        </w:rPr>
        <w:t>.基金收益分配后基金份额净值不能低于面值，即基金收益分配基准日的基金份额净值减去每单位基金份额收益分配金额后不能低于面值；</w:t>
      </w:r>
    </w:p>
    <w:p w14:paraId="38EDEF51"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sz w:val="24"/>
        </w:rPr>
        <w:t>4</w:t>
      </w:r>
      <w:r w:rsidRPr="00A4590A">
        <w:rPr>
          <w:rFonts w:asciiTheme="minorEastAsia" w:eastAsiaTheme="minorEastAsia" w:hAnsiTheme="minorEastAsia" w:cs="Arial" w:hint="eastAsia"/>
          <w:sz w:val="24"/>
        </w:rPr>
        <w:t>.法律法规或监管机关另有规定的，从其规定。</w:t>
      </w:r>
    </w:p>
    <w:p w14:paraId="1B02CD6C"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sz w:val="24"/>
        </w:rPr>
        <w:t>在不违反法律法规且对基金份额持有人利益无实质性不利影响的前提下</w:t>
      </w:r>
      <w:r w:rsidRPr="00A4590A">
        <w:rPr>
          <w:rFonts w:asciiTheme="minorEastAsia" w:eastAsiaTheme="minorEastAsia" w:hAnsiTheme="minorEastAsia" w:cs="Arial" w:hint="eastAsia"/>
          <w:sz w:val="24"/>
        </w:rPr>
        <w:t>，</w:t>
      </w:r>
      <w:r w:rsidRPr="00A4590A">
        <w:rPr>
          <w:rFonts w:asciiTheme="minorEastAsia" w:eastAsiaTheme="minorEastAsia" w:hAnsiTheme="minorEastAsia" w:cs="Arial"/>
          <w:sz w:val="24"/>
        </w:rPr>
        <w:t>基金管理人可对基金收益分配原则进行调整</w:t>
      </w:r>
      <w:r w:rsidRPr="00A4590A">
        <w:rPr>
          <w:rFonts w:asciiTheme="minorEastAsia" w:eastAsiaTheme="minorEastAsia" w:hAnsiTheme="minorEastAsia" w:cs="Arial" w:hint="eastAsia"/>
          <w:sz w:val="24"/>
        </w:rPr>
        <w:t>，</w:t>
      </w:r>
      <w:r w:rsidRPr="00A4590A">
        <w:rPr>
          <w:rFonts w:asciiTheme="minorEastAsia" w:eastAsiaTheme="minorEastAsia" w:hAnsiTheme="minorEastAsia" w:cs="Arial"/>
          <w:sz w:val="24"/>
        </w:rPr>
        <w:t>无需召开基金份额持有人大会</w:t>
      </w:r>
      <w:r w:rsidRPr="00A4590A">
        <w:rPr>
          <w:rFonts w:asciiTheme="minorEastAsia" w:eastAsiaTheme="minorEastAsia" w:hAnsiTheme="minorEastAsia" w:cs="Arial" w:hint="eastAsia"/>
          <w:sz w:val="24"/>
        </w:rPr>
        <w:t>。</w:t>
      </w:r>
    </w:p>
    <w:p w14:paraId="558F574A"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w:t>
      </w:r>
      <w:r w:rsidRPr="00A4590A">
        <w:rPr>
          <w:rFonts w:asciiTheme="minorEastAsia" w:eastAsiaTheme="minorEastAsia" w:hAnsiTheme="minorEastAsia" w:cs="Arial"/>
          <w:sz w:val="24"/>
        </w:rPr>
        <w:t>四</w:t>
      </w:r>
      <w:r w:rsidRPr="00A4590A">
        <w:rPr>
          <w:rFonts w:asciiTheme="minorEastAsia" w:eastAsiaTheme="minorEastAsia" w:hAnsiTheme="minorEastAsia" w:cs="Arial" w:hint="eastAsia"/>
          <w:sz w:val="24"/>
        </w:rPr>
        <w:t>）基金收益分配的时间和程序</w:t>
      </w:r>
    </w:p>
    <w:p w14:paraId="77148E6B"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本基金收益分配方案由基金管理人拟订，并由基金托管人复核，在2日内在指定媒</w:t>
      </w:r>
      <w:r w:rsidRPr="00A4590A">
        <w:rPr>
          <w:rFonts w:asciiTheme="minorEastAsia" w:eastAsiaTheme="minorEastAsia" w:hAnsiTheme="minorEastAsia" w:cs="Arial"/>
          <w:sz w:val="24"/>
        </w:rPr>
        <w:t>介</w:t>
      </w:r>
      <w:r w:rsidRPr="00A4590A">
        <w:rPr>
          <w:rFonts w:asciiTheme="minorEastAsia" w:eastAsiaTheme="minorEastAsia" w:hAnsiTheme="minorEastAsia" w:cs="Arial" w:hint="eastAsia"/>
          <w:sz w:val="24"/>
        </w:rPr>
        <w:t>公告并报中国证监会备案。</w:t>
      </w:r>
      <w:r w:rsidRPr="00A4590A">
        <w:rPr>
          <w:rFonts w:asciiTheme="minorEastAsia" w:eastAsiaTheme="minorEastAsia" w:hAnsiTheme="minorEastAsia" w:hint="eastAsia"/>
          <w:sz w:val="24"/>
        </w:rPr>
        <w:t>基金红利发放日距离收益分配基准日（即可供分配利润计算截止日）的时间不得超过15个工作日。</w:t>
      </w:r>
      <w:r w:rsidRPr="00A4590A">
        <w:rPr>
          <w:rFonts w:asciiTheme="minorEastAsia" w:eastAsia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14:paraId="6AA88539"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收益分配时所发生的银行转账或其他手续费用由投资者自行承担。对于场外份额，当投资者的现金红利小于一定金额，不足以支付银行转账或其他手续费用时，基金登记机构可将基金份额持有人的现金红利自动转为基金份额。红利再投资的计算方法，依照《业务规则》执行。对于场内份额，现金分红的计算方法等有关事项遵循上海证券交易所及中国证券登记结算有限责任公司的相关规定。</w:t>
      </w:r>
    </w:p>
    <w:p w14:paraId="5E0BBA57" w14:textId="77777777" w:rsidR="00D75768" w:rsidRPr="00A4590A" w:rsidRDefault="00D75768" w:rsidP="00A4590A">
      <w:pPr>
        <w:adjustRightInd w:val="0"/>
        <w:snapToGrid w:val="0"/>
        <w:spacing w:line="360" w:lineRule="auto"/>
        <w:rPr>
          <w:rFonts w:asciiTheme="minorEastAsia" w:eastAsiaTheme="minorEastAsia" w:hAnsiTheme="minorEastAsia" w:cs="Arial"/>
          <w:sz w:val="24"/>
        </w:rPr>
      </w:pPr>
    </w:p>
    <w:p w14:paraId="02F88542"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88" w:name="_Toc124325894"/>
      <w:r w:rsidRPr="00A4590A">
        <w:rPr>
          <w:rFonts w:asciiTheme="minorEastAsia" w:eastAsiaTheme="minorEastAsia" w:hAnsiTheme="minorEastAsia" w:hint="eastAsia"/>
          <w:sz w:val="30"/>
        </w:rPr>
        <w:t>十、基金信息披露</w:t>
      </w:r>
      <w:bookmarkEnd w:id="88"/>
    </w:p>
    <w:p w14:paraId="131CECCD"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（一）保密义务</w:t>
      </w:r>
    </w:p>
    <w:p w14:paraId="57B5345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w:t>
      </w:r>
      <w:r w:rsidRPr="00A4590A">
        <w:rPr>
          <w:rFonts w:asciiTheme="minorEastAsia" w:eastAsiaTheme="minorEastAsia" w:hAnsiTheme="minorEastAsia" w:cs="Arial" w:hint="eastAsia"/>
          <w:sz w:val="24"/>
        </w:rPr>
        <w:lastRenderedPageBreak/>
        <w:t>金运作中产生的信息以及从对方获得的业务信息应予保密。但是，如下情况不应视为基金管理人或基金托管人违反保密义务：</w:t>
      </w:r>
    </w:p>
    <w:p w14:paraId="5DA4C89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1.非因基金管理人和基金托管人的原因导致保密信息被披露、泄露或公开；</w:t>
      </w:r>
    </w:p>
    <w:p w14:paraId="15B109E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2.基金管理人和基金托管人为遵守和服从法院判决或裁定、仲裁裁决或中国证监会等监管机构的命令、决定所做出的信息披露或公开。</w:t>
      </w:r>
    </w:p>
    <w:p w14:paraId="43D6893D"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（二）信息披露的内容</w:t>
      </w:r>
    </w:p>
    <w:p w14:paraId="185BAF39" w14:textId="77777777" w:rsidR="00D75768" w:rsidRPr="00A4590A" w:rsidRDefault="00D75768" w:rsidP="00A4590A">
      <w:pPr>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的信息披露内容主要包括基金招募说明书、《基金合同》、托管协议、基金份额发售公告、基金募集情况、《基金合同》生效公告、基金份额上市交易公告书、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105DCAD1"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（三）基金托管人和基金管理人在信息披露中的职责和信息披露程序</w:t>
      </w:r>
    </w:p>
    <w:p w14:paraId="793A74B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1.职责</w:t>
      </w:r>
    </w:p>
    <w:p w14:paraId="529D551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78D5684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对于不需要基金托管人复核的信息，基金管理人在公告前应告知基金托管人。</w:t>
      </w:r>
    </w:p>
    <w:p w14:paraId="2E0E7CB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基金管理人和基金托管人应积极配合、互相监督，保证其履行按照法定方式和限时披露的义务。</w:t>
      </w:r>
    </w:p>
    <w:p w14:paraId="7CD2EA9E"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427F987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当出现下述情况时，基金管理人和基金托管人可暂停或延迟披露基金相关信息：</w:t>
      </w:r>
    </w:p>
    <w:p w14:paraId="340840B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(1)因不可抗力致使基金管理人、基金托管人无法准确评估基金资产价值时；</w:t>
      </w:r>
    </w:p>
    <w:p w14:paraId="3BA80E51"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(2)基金投资所涉及的证券/期货交易市场遇法定节假日或因其他原因暂停营业时；</w:t>
      </w:r>
    </w:p>
    <w:p w14:paraId="3939FEB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(3)当前一估值日基金资产净值50%以上的资产出现无可参考的活跃市场价格</w:t>
      </w:r>
      <w:r w:rsidRPr="00A4590A">
        <w:rPr>
          <w:rFonts w:asciiTheme="minorEastAsia" w:eastAsiaTheme="minorEastAsia" w:hAnsiTheme="minorEastAsia" w:cs="Arial" w:hint="eastAsia"/>
          <w:sz w:val="24"/>
        </w:rPr>
        <w:lastRenderedPageBreak/>
        <w:t>且采用估值技术仍导致公允价值存在重大不确定性，并经与基金托管人协商确认后，基金管理人应当暂停估值时；</w:t>
      </w:r>
    </w:p>
    <w:p w14:paraId="00EE4CD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(4)法律法规规定、中国证监会和基金合同认定的其他情形。</w:t>
      </w:r>
    </w:p>
    <w:p w14:paraId="51058B3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2.程序</w:t>
      </w:r>
    </w:p>
    <w:p w14:paraId="5CBAE45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8D7ED9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3.信息文本的存放</w:t>
      </w:r>
    </w:p>
    <w:p w14:paraId="5EC1EACE" w14:textId="77777777" w:rsidR="00D75768" w:rsidRPr="00A4590A" w:rsidRDefault="00D75768" w:rsidP="00A4590A">
      <w:pPr>
        <w:pStyle w:val="a0"/>
        <w:spacing w:line="360" w:lineRule="auto"/>
        <w:ind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基金合同、托管协议、招募说明书公布后，应当分别置备于基金管理人、基金托管人和基金销售机构的</w:t>
      </w:r>
      <w:r w:rsidRPr="00A4590A">
        <w:rPr>
          <w:rFonts w:asciiTheme="minorEastAsia" w:eastAsiaTheme="minorEastAsia" w:hAnsiTheme="minorEastAsia" w:cs="Arial"/>
          <w:sz w:val="24"/>
        </w:rPr>
        <w:t>住所</w:t>
      </w:r>
      <w:r w:rsidRPr="00A4590A">
        <w:rPr>
          <w:rFonts w:asciiTheme="minorEastAsia" w:eastAsiaTheme="minorEastAsia" w:hAnsiTheme="minorEastAsia" w:cs="Arial" w:hint="eastAsia"/>
          <w:sz w:val="24"/>
        </w:rPr>
        <w:t>，供公众查阅、复制。基金定期报告公布后，应当分别置备于基金管理人和基金托管人的住所，以供公众查阅、复制。</w:t>
      </w:r>
    </w:p>
    <w:p w14:paraId="5059C8D6" w14:textId="77777777" w:rsidR="00D75768" w:rsidRPr="00A4590A" w:rsidRDefault="00D75768" w:rsidP="00A4590A">
      <w:pPr>
        <w:pStyle w:val="a0"/>
        <w:spacing w:line="360" w:lineRule="auto"/>
        <w:ind w:firstLineChars="0" w:firstLine="0"/>
        <w:rPr>
          <w:rFonts w:asciiTheme="minorEastAsia" w:eastAsiaTheme="minorEastAsia" w:hAnsiTheme="minorEastAsia" w:cs="Arial"/>
          <w:sz w:val="24"/>
        </w:rPr>
      </w:pPr>
    </w:p>
    <w:p w14:paraId="1F7A9814"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89" w:name="_Toc124325895"/>
      <w:r w:rsidRPr="00A4590A">
        <w:rPr>
          <w:rFonts w:asciiTheme="minorEastAsia" w:eastAsiaTheme="minorEastAsia" w:hAnsiTheme="minorEastAsia" w:hint="eastAsia"/>
          <w:sz w:val="30"/>
        </w:rPr>
        <w:t>十一、基金费用</w:t>
      </w:r>
      <w:bookmarkEnd w:id="89"/>
    </w:p>
    <w:p w14:paraId="3D29050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（一）基金管理费的计提比例和计提方法</w:t>
      </w:r>
    </w:p>
    <w:p w14:paraId="69B33F4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本基金的管理费按前一日基金资产净值的1.50%年费率计提。管理费的计算方法如下：</w:t>
      </w:r>
    </w:p>
    <w:p w14:paraId="1C9051AE"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H＝E×1</w:t>
      </w:r>
      <w:r w:rsidRPr="00A4590A">
        <w:rPr>
          <w:rFonts w:asciiTheme="minorEastAsia" w:eastAsiaTheme="minorEastAsia" w:hAnsiTheme="minorEastAsia" w:cs="Arial"/>
          <w:sz w:val="24"/>
        </w:rPr>
        <w:t>.50</w:t>
      </w:r>
      <w:r w:rsidRPr="00A4590A">
        <w:rPr>
          <w:rFonts w:asciiTheme="minorEastAsia" w:eastAsiaTheme="minorEastAsia" w:hAnsiTheme="minorEastAsia" w:cs="Arial" w:hint="eastAsia"/>
          <w:sz w:val="24"/>
        </w:rPr>
        <w:t>%÷当年天数</w:t>
      </w:r>
    </w:p>
    <w:p w14:paraId="679A387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H为每日应计提的基金管理费</w:t>
      </w:r>
    </w:p>
    <w:p w14:paraId="2275B05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E为前一日的基金资产净值</w:t>
      </w:r>
    </w:p>
    <w:p w14:paraId="17FA8B11"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（二）基金托管费的计提比例和计提方法</w:t>
      </w:r>
    </w:p>
    <w:p w14:paraId="01B5CB0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本基金的托管费按前一日基金资产净值的0.25%年费率计提。托管费的计算方法如下：</w:t>
      </w:r>
    </w:p>
    <w:p w14:paraId="363A2901"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H＝E×0</w:t>
      </w:r>
      <w:r w:rsidRPr="00A4590A">
        <w:rPr>
          <w:rFonts w:asciiTheme="minorEastAsia" w:eastAsiaTheme="minorEastAsia" w:hAnsiTheme="minorEastAsia" w:cs="Arial"/>
          <w:sz w:val="24"/>
        </w:rPr>
        <w:t>.25</w:t>
      </w:r>
      <w:r w:rsidRPr="00A4590A">
        <w:rPr>
          <w:rFonts w:asciiTheme="minorEastAsia" w:eastAsiaTheme="minorEastAsia" w:hAnsiTheme="minorEastAsia" w:cs="Arial" w:hint="eastAsia"/>
          <w:sz w:val="24"/>
        </w:rPr>
        <w:t>%÷当年天数</w:t>
      </w:r>
    </w:p>
    <w:p w14:paraId="7043C8F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H为每日应计提的基金托管费</w:t>
      </w:r>
    </w:p>
    <w:p w14:paraId="7381355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E为前一日的基金资产净值</w:t>
      </w:r>
    </w:p>
    <w:p w14:paraId="3EE76E38"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（三）证券/期货账户开户费用、证券/期货交易费用、因投资港股通标的股票而产生的各项合理费用</w:t>
      </w:r>
      <w:r w:rsidRPr="00A4590A">
        <w:rPr>
          <w:rFonts w:asciiTheme="minorEastAsia" w:eastAsiaTheme="minorEastAsia" w:hAnsiTheme="minorEastAsia" w:cs="Arial" w:hint="eastAsia"/>
          <w:i/>
          <w:sz w:val="24"/>
        </w:rPr>
        <w:t>、</w:t>
      </w:r>
      <w:r w:rsidRPr="00A4590A">
        <w:rPr>
          <w:rFonts w:asciiTheme="minorEastAsia" w:eastAsiaTheme="minorEastAsia" w:hAnsiTheme="minorEastAsia" w:cs="Arial" w:hint="eastAsia"/>
          <w:sz w:val="24"/>
        </w:rPr>
        <w:t>基金财产划拨支付的银行费用、账户维护费、《基金合同》生效后与基金相关的信息披露费用、基金份额持有人大会费用、《基金合同》生效</w:t>
      </w:r>
      <w:r w:rsidRPr="00A4590A">
        <w:rPr>
          <w:rFonts w:asciiTheme="minorEastAsia" w:eastAsiaTheme="minorEastAsia" w:hAnsiTheme="minorEastAsia" w:cs="Arial" w:hint="eastAsia"/>
          <w:sz w:val="24"/>
        </w:rPr>
        <w:lastRenderedPageBreak/>
        <w:t>后与基金有关的会计师费、律师费、诉讼费和仲裁费等根据有关法律法规、《基金合同》及相应协议的规定，列入当期基金费用。</w:t>
      </w:r>
    </w:p>
    <w:p w14:paraId="4F7C35AE"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（四）不列入基金费用的项目</w:t>
      </w:r>
    </w:p>
    <w:p w14:paraId="6B243E2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《基金合同》生效前的相关</w:t>
      </w:r>
      <w:r w:rsidRPr="00A4590A">
        <w:rPr>
          <w:rFonts w:asciiTheme="minorEastAsia" w:eastAsiaTheme="minorEastAsia" w:hAnsiTheme="minorEastAsia" w:cs="Arial"/>
          <w:sz w:val="24"/>
        </w:rPr>
        <w:t>费用，包括</w:t>
      </w:r>
      <w:r w:rsidRPr="00A4590A">
        <w:rPr>
          <w:rFonts w:asciiTheme="minorEastAsia" w:eastAsiaTheme="minorEastAsia" w:hAnsiTheme="minorEastAsia" w:cs="Arial" w:hint="eastAsia"/>
          <w:sz w:val="24"/>
        </w:rPr>
        <w:t>律师费、会计师费和信息披露费用等不得从基金财产中列支；基金管理人和基金托管人因未履行或未完全履行义务导致的费用支出或基金财产的损失，以及处理与基金运作无关的事项发生的费用等不列入基金费用。其他根据相关法律法规及中国证监会的有关规定不得列入基金费用的项目。</w:t>
      </w:r>
    </w:p>
    <w:p w14:paraId="68717E96"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（五）基金管理费和基金托管费的复核程序、支付方式和时间</w:t>
      </w:r>
    </w:p>
    <w:p w14:paraId="65123CA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1.复核程序</w:t>
      </w:r>
    </w:p>
    <w:p w14:paraId="07AD855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基金托管人对基金管理人计提的基金管理费和基金托管费等，根据本托管协议和《基金合同》的有关规定进行复核。</w:t>
      </w:r>
    </w:p>
    <w:p w14:paraId="26E06C8A"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2.支付方式和时间</w:t>
      </w:r>
    </w:p>
    <w:p w14:paraId="0AB0A42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595501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在首期支付基金管理费前，基金管理人应向基金托管人出具正式函件指定基金管理费的收款账户。基金管理人如需要变更此账户，应提前5个工作日向托管人出具书面的收款账户变更通知。</w:t>
      </w:r>
    </w:p>
    <w:p w14:paraId="3C2E74D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（七）违规处理方式</w:t>
      </w:r>
    </w:p>
    <w:p w14:paraId="5D45714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C17F029" w14:textId="77777777" w:rsidR="00D75768" w:rsidRPr="00A4590A" w:rsidRDefault="00D75768" w:rsidP="00A4590A">
      <w:pPr>
        <w:adjustRightInd w:val="0"/>
        <w:snapToGrid w:val="0"/>
        <w:spacing w:line="360" w:lineRule="auto"/>
        <w:rPr>
          <w:rFonts w:asciiTheme="minorEastAsia" w:eastAsiaTheme="minorEastAsia" w:hAnsiTheme="minorEastAsia" w:cs="Arial"/>
          <w:sz w:val="24"/>
        </w:rPr>
      </w:pPr>
    </w:p>
    <w:p w14:paraId="4D652B49"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90" w:name="_Toc124325896"/>
      <w:r w:rsidRPr="00A4590A">
        <w:rPr>
          <w:rFonts w:asciiTheme="minorEastAsia" w:eastAsiaTheme="minorEastAsia" w:hAnsiTheme="minorEastAsia" w:hint="eastAsia"/>
          <w:sz w:val="30"/>
        </w:rPr>
        <w:t>十二、基金份额持有人名册的保管</w:t>
      </w:r>
      <w:bookmarkEnd w:id="90"/>
    </w:p>
    <w:p w14:paraId="3D3A79E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基金份额持有人名册至少应包括基金份额持有人的名称和持有的基金份额。</w:t>
      </w:r>
      <w:r w:rsidRPr="00A4590A">
        <w:rPr>
          <w:rFonts w:asciiTheme="minorEastAsia" w:eastAsiaTheme="minorEastAsia" w:hAnsiTheme="minorEastAsia" w:cs="Arial" w:hint="eastAsia"/>
          <w:sz w:val="24"/>
        </w:rPr>
        <w:lastRenderedPageBreak/>
        <w:t>基金份额持有人名册由基金登记机构根据基金管理人的指令编制和保管，保存期自</w:t>
      </w:r>
      <w:r w:rsidRPr="00A4590A">
        <w:rPr>
          <w:rFonts w:asciiTheme="minorEastAsia" w:eastAsiaTheme="minorEastAsia" w:hAnsiTheme="minorEastAsia" w:cs="Arial"/>
          <w:sz w:val="24"/>
        </w:rPr>
        <w:t>基金账户销户之日起</w:t>
      </w:r>
      <w:r w:rsidRPr="00A4590A">
        <w:rPr>
          <w:rFonts w:asciiTheme="minorEastAsia" w:eastAsiaTheme="minorEastAsia" w:hAnsiTheme="minorEastAsia" w:cs="Arial" w:hint="eastAsia"/>
          <w:sz w:val="24"/>
        </w:rPr>
        <w:t>不少于20年。基金管理人和基金托管人应分别保管基金份额持有人名册，保存期不少于15年。如不能妥善保管，则按相关法规承担责任。</w:t>
      </w:r>
    </w:p>
    <w:p w14:paraId="0764038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在基金托管人要求或编制半年报和年报前，基金管理人应将有关资料送交基金托管人，不得无故拒绝或延误提供，并保证其真实性、准确性和完整性。</w:t>
      </w:r>
      <w:r w:rsidRPr="00A4590A">
        <w:rPr>
          <w:rFonts w:asciiTheme="minorEastAsia" w:eastAsiaTheme="minorEastAsia" w:hAnsiTheme="minorEastAsia" w:hint="eastAsia"/>
          <w:kern w:val="0"/>
          <w:sz w:val="24"/>
        </w:rPr>
        <w:t>基金托管人不得将所保管的基金份额持有人名册用于基金托管业务以外的其他用途，并应遵守保密义务。</w:t>
      </w:r>
    </w:p>
    <w:p w14:paraId="22E79BF2" w14:textId="77777777" w:rsidR="00D75768" w:rsidRPr="00A4590A" w:rsidRDefault="00D75768" w:rsidP="00A4590A">
      <w:pPr>
        <w:adjustRightInd w:val="0"/>
        <w:snapToGrid w:val="0"/>
        <w:spacing w:line="360" w:lineRule="auto"/>
        <w:rPr>
          <w:rFonts w:asciiTheme="minorEastAsia" w:eastAsiaTheme="minorEastAsia" w:hAnsiTheme="minorEastAsia" w:cs="Arial"/>
          <w:sz w:val="24"/>
        </w:rPr>
      </w:pPr>
    </w:p>
    <w:p w14:paraId="2A566736"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91" w:name="_Toc124325897"/>
      <w:r w:rsidRPr="00A4590A">
        <w:rPr>
          <w:rFonts w:asciiTheme="minorEastAsia" w:eastAsiaTheme="minorEastAsia" w:hAnsiTheme="minorEastAsia" w:hint="eastAsia"/>
          <w:sz w:val="30"/>
        </w:rPr>
        <w:t>十三、基金有关文件档案的保存</w:t>
      </w:r>
      <w:bookmarkEnd w:id="91"/>
    </w:p>
    <w:p w14:paraId="4FC2435B"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（一）档案保存</w:t>
      </w:r>
    </w:p>
    <w:p w14:paraId="6A9ED17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9D7F45D"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（二）合同档案的建立</w:t>
      </w:r>
    </w:p>
    <w:p w14:paraId="1CC67DF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1.基金管理人签署重大合同文本后，应及时将合同文本正本送达基金托管人处。</w:t>
      </w:r>
    </w:p>
    <w:p w14:paraId="05DB089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2.基金管理人应及时将与本基金账务处理、资金划拨等有关的合同、协议传真基金托管人。</w:t>
      </w:r>
    </w:p>
    <w:p w14:paraId="3EE5EBAA"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（三）变更与协助</w:t>
      </w:r>
    </w:p>
    <w:p w14:paraId="158EABEE"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b/>
          <w:bCs/>
          <w:sz w:val="30"/>
          <w:szCs w:val="30"/>
        </w:rPr>
      </w:pPr>
      <w:r w:rsidRPr="00A4590A">
        <w:rPr>
          <w:rFonts w:asciiTheme="minorEastAsia" w:eastAsiaTheme="minorEastAsia" w:hAnsiTheme="minorEastAsia" w:cs="Arial" w:hint="eastAsia"/>
          <w:sz w:val="24"/>
        </w:rPr>
        <w:t>若基金管理人/基金托管人发生变更，未变更的一方有义务协助变更后的接任人接收相应文件。</w:t>
      </w:r>
    </w:p>
    <w:p w14:paraId="1D6694C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（四）基金管理人和基金托管人应按各自职责完整保存原始凭证、记账凭证、基金账册、交易记录和重要合同等，承担保密义务并保存至少十五年以上。</w:t>
      </w:r>
    </w:p>
    <w:p w14:paraId="0365EBBD" w14:textId="77777777" w:rsidR="00D75768" w:rsidRPr="00A4590A" w:rsidRDefault="00D75768" w:rsidP="00A4590A">
      <w:pPr>
        <w:adjustRightInd w:val="0"/>
        <w:snapToGrid w:val="0"/>
        <w:spacing w:line="360" w:lineRule="auto"/>
        <w:rPr>
          <w:rFonts w:asciiTheme="minorEastAsia" w:eastAsiaTheme="minorEastAsia" w:hAnsiTheme="minorEastAsia"/>
          <w:sz w:val="30"/>
          <w:szCs w:val="30"/>
        </w:rPr>
      </w:pPr>
    </w:p>
    <w:p w14:paraId="78115E8A"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92" w:name="_Toc124325898"/>
      <w:r w:rsidRPr="00A4590A">
        <w:rPr>
          <w:rFonts w:asciiTheme="minorEastAsia" w:eastAsiaTheme="minorEastAsia" w:hAnsiTheme="minorEastAsia" w:hint="eastAsia"/>
          <w:sz w:val="30"/>
        </w:rPr>
        <w:t>十四、基金管理人和基金托管人的更换</w:t>
      </w:r>
      <w:bookmarkEnd w:id="92"/>
    </w:p>
    <w:p w14:paraId="4D64CCC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（一）基金管理人职责终止的情形</w:t>
      </w:r>
    </w:p>
    <w:p w14:paraId="2F106621"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1.基金管理人职责终止的情形</w:t>
      </w:r>
    </w:p>
    <w:p w14:paraId="232ABB2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lastRenderedPageBreak/>
        <w:t>有下列情形之一的，基金管理人职责终止：</w:t>
      </w:r>
    </w:p>
    <w:p w14:paraId="395BC09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(1)被依法取消基金管理资格；</w:t>
      </w:r>
    </w:p>
    <w:p w14:paraId="0FF7EB0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(2)依法解散、被依法撤销或被依法宣告破产；</w:t>
      </w:r>
    </w:p>
    <w:p w14:paraId="3500F9C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(3)被基金份额持有人大会解任；</w:t>
      </w:r>
    </w:p>
    <w:p w14:paraId="017C5AD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(4)法律法规及中国证监会规定的和《基金合同》约定的其他情形。</w:t>
      </w:r>
    </w:p>
    <w:p w14:paraId="1AB6698A"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2.基金管理人的更换程序</w:t>
      </w:r>
    </w:p>
    <w:p w14:paraId="62FB8EC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更换基金管理人必须依照如下程序进行：</w:t>
      </w:r>
    </w:p>
    <w:p w14:paraId="67A13DB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(1)提名：新任基金管理人由基金托管人</w:t>
      </w:r>
      <w:r w:rsidRPr="00A4590A">
        <w:rPr>
          <w:rFonts w:asciiTheme="minorEastAsia" w:eastAsiaTheme="minorEastAsia" w:hAnsiTheme="minorEastAsia" w:hint="eastAsia"/>
          <w:sz w:val="24"/>
        </w:rPr>
        <w:t>或由单独或合计持有10%以上(含10%)基金份额的基金份额持有人</w:t>
      </w:r>
      <w:r w:rsidRPr="00A4590A">
        <w:rPr>
          <w:rFonts w:asciiTheme="minorEastAsia" w:eastAsiaTheme="minorEastAsia" w:hAnsiTheme="minorEastAsia" w:cs="Arial" w:hint="eastAsia"/>
          <w:sz w:val="24"/>
        </w:rPr>
        <w:t>提名；</w:t>
      </w:r>
    </w:p>
    <w:p w14:paraId="2FCABBA1"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0F8CD0E7"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(3)临时基金管理人：新任基金管理人产生之前，由中国证监会指定临时基金管理人；</w:t>
      </w:r>
    </w:p>
    <w:p w14:paraId="2836F75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(4)备案：基金份额持有人大会选任基金管理人的决议须报中国证监会备案；</w:t>
      </w:r>
    </w:p>
    <w:p w14:paraId="5FBBEB7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(5)公告：基金管理人更换后，由基金托管人在更换基金管理人的基金份额持有人大会决议生效后2日内在指定媒介公告；</w:t>
      </w:r>
    </w:p>
    <w:p w14:paraId="4745482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47ED55F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(7)审计：基金管理人职责终止的，应当按照法律法规规定聘请会计师事务所对基金财产进行审计，并将审计结果予以公告，同时报中国证监会备案；</w:t>
      </w:r>
    </w:p>
    <w:p w14:paraId="7708744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30"/>
          <w:szCs w:val="30"/>
        </w:rPr>
      </w:pPr>
      <w:r w:rsidRPr="00A4590A">
        <w:rPr>
          <w:rFonts w:asciiTheme="minorEastAsia" w:eastAsiaTheme="minorEastAsia" w:hAnsiTheme="minorEastAsia" w:cs="Arial" w:hint="eastAsia"/>
          <w:sz w:val="24"/>
        </w:rPr>
        <w:t>(8)基金名称变更：基金管理人更换后，如果原任或新任基金管理人要求，应按其要求替换或删除基金名称中与原基金管理人有关的名称字样。</w:t>
      </w:r>
    </w:p>
    <w:p w14:paraId="1A615F1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（二）基金托管人职责终止的情形</w:t>
      </w:r>
    </w:p>
    <w:p w14:paraId="248A0871"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1.基金托管人职责终止的情形</w:t>
      </w:r>
    </w:p>
    <w:p w14:paraId="5E72A00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有下列情形之一的，基金托管人职责终止：</w:t>
      </w:r>
    </w:p>
    <w:p w14:paraId="6E72299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(1)被依法取消基金托管资格；</w:t>
      </w:r>
    </w:p>
    <w:p w14:paraId="2CB2B27E"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(2)依法解散、被依法撤销或被依法宣告破产；</w:t>
      </w:r>
    </w:p>
    <w:p w14:paraId="5E76526E"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lastRenderedPageBreak/>
        <w:t>(3)被基金份额持有人大会解任；</w:t>
      </w:r>
    </w:p>
    <w:p w14:paraId="7C452AD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(4)法律法规及中国证监会规定的和《基金合同》约定的其他情形。</w:t>
      </w:r>
    </w:p>
    <w:p w14:paraId="04885A2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2.基金托管人的更换程序</w:t>
      </w:r>
    </w:p>
    <w:p w14:paraId="7DF6ABD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(1)提名：新任基金托管人由基金管理人</w:t>
      </w:r>
      <w:r w:rsidRPr="00A4590A">
        <w:rPr>
          <w:rFonts w:asciiTheme="minorEastAsia" w:eastAsiaTheme="minorEastAsia" w:hAnsiTheme="minorEastAsia" w:hint="eastAsia"/>
          <w:sz w:val="24"/>
        </w:rPr>
        <w:t>或由单独或合计持有10%以上(含10%)基金份额的基金份额持有人</w:t>
      </w:r>
      <w:r w:rsidRPr="00A4590A">
        <w:rPr>
          <w:rFonts w:asciiTheme="minorEastAsia" w:eastAsiaTheme="minorEastAsia" w:hAnsiTheme="minorEastAsia" w:cs="Arial" w:hint="eastAsia"/>
          <w:sz w:val="24"/>
        </w:rPr>
        <w:t>提名；</w:t>
      </w:r>
    </w:p>
    <w:p w14:paraId="7B2AF047"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3950D53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(3)临时基金托管人：新任基金托管人产生之前，由中国证监会指定临时基金托管人；</w:t>
      </w:r>
    </w:p>
    <w:p w14:paraId="6D0FAD5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(4)备案：基金份额持有人大会更换基金托管人的决议须报中国证监会备案；</w:t>
      </w:r>
    </w:p>
    <w:p w14:paraId="0D78C137"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(5)公告：基金托管人更换后，由基金管理人在更换基金托管人的基金份额持有人大会决议生效后 2个工作日内在指定媒介公告；</w:t>
      </w:r>
    </w:p>
    <w:p w14:paraId="6C9904D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14:paraId="455C80B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(7)审计：基金托管人职责终止的，应当按照法律法规规定聘请会计师事务所对基金财产进行审计，并将审计结果予以公告，同时报中国证监会备案。</w:t>
      </w:r>
    </w:p>
    <w:p w14:paraId="08C355E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（三）基金管理人与基金托管人同时更换的条件和程序</w:t>
      </w:r>
    </w:p>
    <w:p w14:paraId="48C291A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1.提名：如果基金管理人和基金托管人同时更换，由单独或合计持有基金总份额10%以上(含10%)的基金份额持有人提名新的基金管理人和基金托管人；</w:t>
      </w:r>
    </w:p>
    <w:p w14:paraId="6B5B53C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2.基金管理人和基金托管人的更换分别按上述程序进行；</w:t>
      </w:r>
    </w:p>
    <w:p w14:paraId="29A96FB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3.公告：新任基金管理人和新任基金托管人应在更换基金管理人和基金托管人的基金份额持有人大会决议生效后2日内在指定媒介上联合公告。</w:t>
      </w:r>
    </w:p>
    <w:p w14:paraId="642F1CA3"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7E6A87A8"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93" w:name="_Toc124325899"/>
      <w:r w:rsidRPr="00A4590A">
        <w:rPr>
          <w:rFonts w:asciiTheme="minorEastAsia" w:eastAsiaTheme="minorEastAsia" w:hAnsiTheme="minorEastAsia" w:hint="eastAsia"/>
          <w:sz w:val="30"/>
        </w:rPr>
        <w:lastRenderedPageBreak/>
        <w:t>十五、禁止行为</w:t>
      </w:r>
      <w:bookmarkEnd w:id="93"/>
    </w:p>
    <w:p w14:paraId="57E32E31"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本协议当事人禁止从事的行为，包括但不限于：</w:t>
      </w:r>
    </w:p>
    <w:p w14:paraId="416FF8E0"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（一）基金管理人、基金托管人将其固有财产或者他人财产混同于基金财产从事证券/期货投资。</w:t>
      </w:r>
    </w:p>
    <w:p w14:paraId="7FAB7280" w14:textId="77777777" w:rsidR="00D75768" w:rsidRPr="00A4590A" w:rsidRDefault="00D75768" w:rsidP="00A4590A">
      <w:pPr>
        <w:spacing w:line="360" w:lineRule="auto"/>
        <w:ind w:firstLineChars="200" w:firstLine="480"/>
        <w:rPr>
          <w:rFonts w:asciiTheme="minorEastAsia" w:eastAsiaTheme="minorEastAsia" w:hAnsiTheme="minorEastAsia"/>
        </w:rPr>
      </w:pPr>
      <w:r w:rsidRPr="00A4590A">
        <w:rPr>
          <w:rFonts w:asciiTheme="minorEastAsia" w:eastAsiaTheme="minorEastAsia" w:hAnsiTheme="minorEastAsia" w:hint="eastAsia"/>
          <w:sz w:val="24"/>
        </w:rPr>
        <w:t>（二）基金管理人不公平地对待其管理的不同基金财产，基金托管人不公平地对待其托管的不同基金财产。</w:t>
      </w:r>
    </w:p>
    <w:p w14:paraId="6F54A37D"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（三）基金管理人、基金托管人利用基金财产为基金份额持有人以外的第三人牟取利益。</w:t>
      </w:r>
    </w:p>
    <w:p w14:paraId="1D10F084" w14:textId="77777777" w:rsidR="00D75768" w:rsidRPr="00A4590A" w:rsidRDefault="00D75768" w:rsidP="00A4590A">
      <w:pPr>
        <w:spacing w:line="360" w:lineRule="auto"/>
        <w:ind w:firstLineChars="200" w:firstLine="480"/>
        <w:rPr>
          <w:rFonts w:asciiTheme="minorEastAsia" w:eastAsiaTheme="minorEastAsia" w:hAnsiTheme="minorEastAsia"/>
          <w:sz w:val="24"/>
        </w:rPr>
      </w:pPr>
      <w:r w:rsidRPr="00A4590A">
        <w:rPr>
          <w:rFonts w:asciiTheme="minorEastAsia" w:eastAsiaTheme="minorEastAsia" w:hAnsiTheme="minorEastAsia" w:hint="eastAsia"/>
          <w:sz w:val="24"/>
        </w:rPr>
        <w:t>（四）基金管理人、基金托管人向基金份额持有人违规承诺收益或者承担损失。</w:t>
      </w:r>
    </w:p>
    <w:p w14:paraId="2DE7C668"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（五）基金管理人、基金托管人对他人泄漏基金运作和管理过程中任何尚未按法律法规规定的方式公开披露的信息。</w:t>
      </w:r>
    </w:p>
    <w:p w14:paraId="2FB33E14" w14:textId="77777777" w:rsidR="00D75768" w:rsidRPr="00A4590A" w:rsidRDefault="00D75768" w:rsidP="00A4590A">
      <w:pPr>
        <w:pStyle w:val="ab"/>
        <w:spacing w:line="360" w:lineRule="auto"/>
        <w:outlineLvl w:val="0"/>
        <w:rPr>
          <w:rFonts w:asciiTheme="minorEastAsia" w:eastAsiaTheme="minorEastAsia" w:hAnsiTheme="minorEastAsia" w:cs="Arial"/>
          <w:szCs w:val="24"/>
        </w:rPr>
      </w:pPr>
      <w:r w:rsidRPr="00A4590A">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14:paraId="0A6144E2"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（七）基金管理人、基金托管人在行政上、财务上不独立, 其高级管理人员和其他从业人员相互兼职。</w:t>
      </w:r>
    </w:p>
    <w:p w14:paraId="509C4DBE" w14:textId="77777777" w:rsidR="00D75768" w:rsidRPr="00A4590A" w:rsidRDefault="00D75768" w:rsidP="00A4590A">
      <w:pPr>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（八）基金托管人私自动用或处分基金财产，根据基金管理人的合法指令、《基金合同》或托管协议的规定进行处分的除外。</w:t>
      </w:r>
    </w:p>
    <w:p w14:paraId="175F6258" w14:textId="77777777" w:rsidR="00D75768" w:rsidRPr="00A4590A" w:rsidRDefault="00D75768" w:rsidP="00A4590A">
      <w:pPr>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hint="eastAsia"/>
          <w:sz w:val="24"/>
        </w:rPr>
        <w:t>（九）</w:t>
      </w:r>
      <w:r w:rsidRPr="00A4590A">
        <w:rPr>
          <w:rFonts w:asciiTheme="minorEastAsia" w:eastAsiaTheme="minorEastAsia" w:hAnsiTheme="minorEastAsia" w:cs="Arial" w:hint="eastAsia"/>
          <w:sz w:val="24"/>
        </w:rPr>
        <w:t>基金财产</w:t>
      </w:r>
      <w:r w:rsidRPr="00A4590A">
        <w:rPr>
          <w:rFonts w:asciiTheme="minorEastAsia" w:eastAsiaTheme="minorEastAsia" w:hAnsiTheme="minorEastAsia"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sidRPr="00A4590A">
        <w:rPr>
          <w:rFonts w:asciiTheme="minorEastAsia" w:eastAsiaTheme="minorEastAsia" w:hAnsiTheme="minorEastAsia" w:cs="Arial" w:hint="eastAsia"/>
          <w:sz w:val="24"/>
        </w:rPr>
        <w:t>法律法规或监管部门取消上述限制，基金管理人在履行适当程序后可不受上述规定的限制</w:t>
      </w:r>
      <w:r w:rsidRPr="00A4590A">
        <w:rPr>
          <w:rFonts w:asciiTheme="minorEastAsia" w:eastAsiaTheme="minorEastAsia" w:hAnsiTheme="minorEastAsia" w:hint="eastAsia"/>
          <w:sz w:val="24"/>
        </w:rPr>
        <w:t>。</w:t>
      </w:r>
    </w:p>
    <w:p w14:paraId="414C8829"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（十）法律法规和《基金合同》禁止的其他行为，以及</w:t>
      </w:r>
      <w:r w:rsidRPr="00A4590A">
        <w:rPr>
          <w:rFonts w:asciiTheme="minorEastAsia" w:eastAsiaTheme="minorEastAsia" w:hAnsiTheme="minorEastAsia" w:hint="eastAsia"/>
          <w:sz w:val="24"/>
        </w:rPr>
        <w:t>法律、行政法规和中国证监会规定禁止基金管理人、基金托管人从事的其他行为。</w:t>
      </w:r>
    </w:p>
    <w:p w14:paraId="30105D98" w14:textId="77777777" w:rsidR="00D75768" w:rsidRPr="00A4590A" w:rsidRDefault="00D75768" w:rsidP="00A4590A">
      <w:pPr>
        <w:adjustRightInd w:val="0"/>
        <w:snapToGrid w:val="0"/>
        <w:spacing w:line="360" w:lineRule="auto"/>
        <w:rPr>
          <w:rFonts w:asciiTheme="minorEastAsia" w:eastAsiaTheme="minorEastAsia" w:hAnsiTheme="minorEastAsia"/>
          <w:sz w:val="30"/>
          <w:szCs w:val="30"/>
        </w:rPr>
      </w:pPr>
    </w:p>
    <w:p w14:paraId="7EE35BBE"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94" w:name="_Toc124325900"/>
      <w:r w:rsidRPr="00A4590A">
        <w:rPr>
          <w:rFonts w:asciiTheme="minorEastAsia" w:eastAsiaTheme="minorEastAsia" w:hAnsiTheme="minorEastAsia" w:hint="eastAsia"/>
          <w:sz w:val="30"/>
        </w:rPr>
        <w:lastRenderedPageBreak/>
        <w:t>十六、托管协议的变更、终止与基金财产的清算</w:t>
      </w:r>
      <w:bookmarkEnd w:id="94"/>
    </w:p>
    <w:p w14:paraId="73438BD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（一）托管协议的变更程序</w:t>
      </w:r>
    </w:p>
    <w:p w14:paraId="0157E49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30"/>
          <w:szCs w:val="30"/>
        </w:rPr>
      </w:pPr>
      <w:r w:rsidRPr="00A4590A">
        <w:rPr>
          <w:rFonts w:asciiTheme="minorEastAsia" w:eastAsiaTheme="minorEastAsia" w:hAnsiTheme="minorEastAsia" w:cs="Arial" w:hint="eastAsia"/>
          <w:sz w:val="24"/>
        </w:rPr>
        <w:t>本协议双方当事人经协商一致，可以对协议进行修改。修改后的新协议，其内容不得与《基金合同》的规定有任何冲突。基金托管协议的变更报中国证监会备案。</w:t>
      </w:r>
    </w:p>
    <w:p w14:paraId="23EA0F1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（二）托管协议终止的情形</w:t>
      </w:r>
    </w:p>
    <w:p w14:paraId="6552883A"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1.《基金合同》终止；</w:t>
      </w:r>
    </w:p>
    <w:p w14:paraId="2A41035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2.基金托管人解散、依法被撤销、破产或由其他基金托管人接管基金资产；</w:t>
      </w:r>
    </w:p>
    <w:p w14:paraId="1B2A99F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3.基金管理人解散、依法被撤销、破产或由其他基金管理人接管基金管理权；</w:t>
      </w:r>
    </w:p>
    <w:p w14:paraId="4C6185C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4.发生法律法规或《基金合同》规定的终止事项。</w:t>
      </w:r>
    </w:p>
    <w:p w14:paraId="5454FB9A"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（三）基金财产的清算</w:t>
      </w:r>
    </w:p>
    <w:p w14:paraId="5B452F8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1.基金财产清算小组：自出现《基金合同》终止事由之日起30个工作日内成立基金</w:t>
      </w:r>
      <w:r w:rsidRPr="00A4590A">
        <w:rPr>
          <w:rFonts w:asciiTheme="minorEastAsia" w:eastAsiaTheme="minorEastAsia" w:hAnsiTheme="minorEastAsia" w:cs="Arial"/>
          <w:sz w:val="24"/>
        </w:rPr>
        <w:t>财产</w:t>
      </w:r>
      <w:r w:rsidRPr="00A4590A">
        <w:rPr>
          <w:rFonts w:asciiTheme="minorEastAsia" w:eastAsiaTheme="minorEastAsia" w:hAnsiTheme="minorEastAsia" w:cs="Arial" w:hint="eastAsia"/>
          <w:sz w:val="24"/>
        </w:rPr>
        <w:t>清算小组，基金管理人组织基金财产清算小组并在中国证监会的监督下进行基金清算。</w:t>
      </w:r>
    </w:p>
    <w:p w14:paraId="083CBC5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D12F45C"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3.基金财产清算小组职责：基金财产清算小组负责基金财产的保管、清理、估价、变现和分配。基金财产清算小组可以依法进行必要的民事活动。</w:t>
      </w:r>
    </w:p>
    <w:p w14:paraId="7B352637"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4.基金财产清算程序：</w:t>
      </w:r>
    </w:p>
    <w:p w14:paraId="4108000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(1)《基金合同》终止情形出现时，由基金财产清算小组统一接管基金；</w:t>
      </w:r>
    </w:p>
    <w:p w14:paraId="6AF68DC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(2)对基金财产和债权债务进行清理和确认；</w:t>
      </w:r>
    </w:p>
    <w:p w14:paraId="0FA9AE5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(3)对基金财产进行估值和变现；</w:t>
      </w:r>
    </w:p>
    <w:p w14:paraId="7B92D98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(4)制作清算报告；</w:t>
      </w:r>
    </w:p>
    <w:p w14:paraId="4BB1307E"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(5)聘请会计师事务所对清算报告进行外部审计，聘请律师事务所对清算报告出具法律意见书；</w:t>
      </w:r>
    </w:p>
    <w:p w14:paraId="679E4131"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(6)将清算报告报中国证监会备案并公告；</w:t>
      </w:r>
    </w:p>
    <w:p w14:paraId="3D37D27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(7)对基金剩余财产进行分配。</w:t>
      </w:r>
    </w:p>
    <w:p w14:paraId="2191D4A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5.基金财产清算的期限为</w:t>
      </w:r>
      <w:r w:rsidRPr="00A4590A">
        <w:rPr>
          <w:rFonts w:asciiTheme="minorEastAsia" w:eastAsiaTheme="minorEastAsia" w:hAnsiTheme="minorEastAsia" w:cs="Arial"/>
          <w:sz w:val="24"/>
        </w:rPr>
        <w:t>6</w:t>
      </w:r>
      <w:r w:rsidRPr="00A4590A">
        <w:rPr>
          <w:rFonts w:asciiTheme="minorEastAsia" w:eastAsiaTheme="minorEastAsia" w:hAnsiTheme="minorEastAsia" w:cs="Arial" w:hint="eastAsia"/>
          <w:sz w:val="24"/>
        </w:rPr>
        <w:t>个月。</w:t>
      </w:r>
    </w:p>
    <w:p w14:paraId="7297F80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6.清算费用</w:t>
      </w:r>
    </w:p>
    <w:p w14:paraId="4B145F2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lastRenderedPageBreak/>
        <w:t>清算费用是指基金财产清算小组在进行基金清算过程中发生的所有合理费用，清算费用由基金财产清算小组优先从基金财产中支付。</w:t>
      </w:r>
    </w:p>
    <w:p w14:paraId="6792E67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7.基金财产清算剩余资产的分配</w:t>
      </w:r>
    </w:p>
    <w:p w14:paraId="09A0E6F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CC82807"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8.基金财产清算的公告</w:t>
      </w:r>
    </w:p>
    <w:p w14:paraId="25B4802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4590A">
        <w:rPr>
          <w:rFonts w:asciiTheme="minorEastAsia" w:eastAsiaTheme="minorEastAsia" w:hAnsiTheme="minorEastAsia" w:cs="Arial"/>
          <w:sz w:val="24"/>
        </w:rPr>
        <w:t>5</w:t>
      </w:r>
      <w:r w:rsidRPr="00A4590A">
        <w:rPr>
          <w:rFonts w:asciiTheme="minorEastAsia" w:eastAsiaTheme="minorEastAsia" w:hAnsiTheme="minorEastAsia" w:cs="Arial" w:hint="eastAsia"/>
          <w:sz w:val="24"/>
        </w:rPr>
        <w:t>个工作日内由基金财产清算小组进行公告。</w:t>
      </w:r>
    </w:p>
    <w:p w14:paraId="18A4B8A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9.基金财产清算账册及文件的保存</w:t>
      </w:r>
    </w:p>
    <w:p w14:paraId="024B99E9"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基金财产清算账册及有关文件由基金托管人保存15年以上。</w:t>
      </w:r>
    </w:p>
    <w:p w14:paraId="295C3392" w14:textId="77777777" w:rsidR="00D75768" w:rsidRPr="00A4590A" w:rsidRDefault="00D75768" w:rsidP="00A4590A">
      <w:pPr>
        <w:adjustRightInd w:val="0"/>
        <w:snapToGrid w:val="0"/>
        <w:spacing w:line="360" w:lineRule="auto"/>
        <w:rPr>
          <w:rFonts w:asciiTheme="minorEastAsia" w:eastAsiaTheme="minorEastAsia" w:hAnsiTheme="minorEastAsia" w:cs="Arial"/>
          <w:sz w:val="24"/>
        </w:rPr>
      </w:pPr>
    </w:p>
    <w:p w14:paraId="51333D29"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95" w:name="_Toc124325901"/>
      <w:r w:rsidRPr="00A4590A">
        <w:rPr>
          <w:rFonts w:asciiTheme="minorEastAsia" w:eastAsiaTheme="minorEastAsia" w:hAnsiTheme="minorEastAsia" w:hint="eastAsia"/>
          <w:sz w:val="30"/>
        </w:rPr>
        <w:t>十七、违约责任</w:t>
      </w:r>
      <w:bookmarkEnd w:id="95"/>
    </w:p>
    <w:p w14:paraId="35BE2590"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（一）基金管理人、基金托管人不履行本协议或履行本协议不符合约定的，应当承担违约责任。</w:t>
      </w:r>
    </w:p>
    <w:p w14:paraId="5AB3CCB8"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3EC18CA8"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23DCC6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1.不可抗力；</w:t>
      </w:r>
    </w:p>
    <w:p w14:paraId="37D6FD7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2.基金管理人</w:t>
      </w:r>
      <w:r w:rsidRPr="00A4590A">
        <w:rPr>
          <w:rFonts w:asciiTheme="minorEastAsia" w:eastAsiaTheme="minorEastAsia" w:hAnsiTheme="minorEastAsia" w:cs="Arial"/>
          <w:sz w:val="24"/>
        </w:rPr>
        <w:t>和</w:t>
      </w:r>
      <w:r w:rsidRPr="00A4590A">
        <w:rPr>
          <w:rFonts w:asciiTheme="minorEastAsia" w:eastAsiaTheme="minorEastAsia" w:hAnsiTheme="minorEastAsia" w:cs="Arial" w:hint="eastAsia"/>
          <w:sz w:val="24"/>
        </w:rPr>
        <w:t>/或基金托管人按照当时有效的法律法规或中国证监会的规定作为或不作为而造成的损失等；</w:t>
      </w:r>
    </w:p>
    <w:p w14:paraId="4DC739C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3.基金管理人由于按照《基金合同》</w:t>
      </w:r>
      <w:r w:rsidRPr="00A4590A">
        <w:rPr>
          <w:rFonts w:asciiTheme="minorEastAsia" w:eastAsiaTheme="minorEastAsia" w:hAnsiTheme="minorEastAsia" w:cs="Arial"/>
          <w:sz w:val="24"/>
        </w:rPr>
        <w:t>约</w:t>
      </w:r>
      <w:r w:rsidRPr="00A4590A">
        <w:rPr>
          <w:rFonts w:asciiTheme="minorEastAsia" w:eastAsiaTheme="minorEastAsia" w:hAnsiTheme="minorEastAsia" w:cs="Arial" w:hint="eastAsia"/>
          <w:sz w:val="24"/>
        </w:rPr>
        <w:t>定的投资原则行使或不行使其投资权而</w:t>
      </w:r>
      <w:r w:rsidRPr="00A4590A">
        <w:rPr>
          <w:rFonts w:asciiTheme="minorEastAsia" w:eastAsiaTheme="minorEastAsia" w:hAnsiTheme="minorEastAsia" w:cs="Arial" w:hint="eastAsia"/>
          <w:sz w:val="24"/>
        </w:rPr>
        <w:lastRenderedPageBreak/>
        <w:t>造成的损失等。</w:t>
      </w:r>
    </w:p>
    <w:p w14:paraId="6EFFE52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A05DD0E"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7DFE5998" w14:textId="77777777" w:rsidR="00D75768" w:rsidRPr="00A4590A" w:rsidRDefault="00D75768" w:rsidP="00A4590A">
      <w:pPr>
        <w:adjustRightInd w:val="0"/>
        <w:snapToGrid w:val="0"/>
        <w:spacing w:line="360" w:lineRule="auto"/>
        <w:ind w:firstLineChars="200" w:firstLine="480"/>
        <w:outlineLvl w:val="0"/>
        <w:rPr>
          <w:rFonts w:asciiTheme="minorEastAsia" w:eastAsiaTheme="minorEastAsia" w:hAnsiTheme="minorEastAsia" w:cs="Arial"/>
          <w:sz w:val="24"/>
        </w:rPr>
      </w:pPr>
      <w:r w:rsidRPr="00A4590A">
        <w:rPr>
          <w:rFonts w:asciiTheme="minorEastAsia" w:eastAsia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1C0118F" w14:textId="77777777" w:rsidR="00D75768" w:rsidRPr="00A4590A" w:rsidRDefault="00D75768" w:rsidP="00A4590A">
      <w:pPr>
        <w:adjustRightInd w:val="0"/>
        <w:snapToGrid w:val="0"/>
        <w:spacing w:line="360" w:lineRule="auto"/>
        <w:outlineLvl w:val="0"/>
        <w:rPr>
          <w:rFonts w:asciiTheme="minorEastAsia" w:eastAsiaTheme="minorEastAsia" w:hAnsiTheme="minorEastAsia" w:cs="Arial"/>
          <w:sz w:val="24"/>
        </w:rPr>
      </w:pPr>
    </w:p>
    <w:p w14:paraId="606E5FCF"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96" w:name="_Toc124325902"/>
      <w:r w:rsidRPr="00A4590A">
        <w:rPr>
          <w:rFonts w:asciiTheme="minorEastAsia" w:eastAsiaTheme="minorEastAsia" w:hAnsiTheme="minorEastAsia" w:hint="eastAsia"/>
          <w:sz w:val="30"/>
        </w:rPr>
        <w:t>十八、争议解决方式</w:t>
      </w:r>
      <w:bookmarkEnd w:id="96"/>
    </w:p>
    <w:p w14:paraId="055E5F45"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0799018"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22999AC6"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本协议受中国法律管辖。</w:t>
      </w:r>
    </w:p>
    <w:p w14:paraId="79D35E4A" w14:textId="77777777" w:rsidR="00D75768" w:rsidRPr="00A4590A" w:rsidRDefault="00D75768" w:rsidP="00A4590A">
      <w:pPr>
        <w:adjustRightInd w:val="0"/>
        <w:snapToGrid w:val="0"/>
        <w:spacing w:line="360" w:lineRule="auto"/>
        <w:rPr>
          <w:rFonts w:asciiTheme="minorEastAsia" w:eastAsiaTheme="minorEastAsia" w:hAnsiTheme="minorEastAsia" w:cs="Arial"/>
          <w:sz w:val="24"/>
        </w:rPr>
      </w:pPr>
    </w:p>
    <w:p w14:paraId="3CD53E36"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97" w:name="_Toc124325903"/>
      <w:r w:rsidRPr="00A4590A">
        <w:rPr>
          <w:rFonts w:asciiTheme="minorEastAsia" w:eastAsiaTheme="minorEastAsia" w:hAnsiTheme="minorEastAsia" w:hint="eastAsia"/>
          <w:sz w:val="30"/>
        </w:rPr>
        <w:t>十九、托管协议的效力</w:t>
      </w:r>
      <w:bookmarkEnd w:id="97"/>
    </w:p>
    <w:p w14:paraId="5BC064D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双方对托管协议的效力约定如下：</w:t>
      </w:r>
    </w:p>
    <w:p w14:paraId="7EEAB53F"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Pr="00A4590A">
        <w:rPr>
          <w:rFonts w:asciiTheme="minorEastAsia" w:eastAsiaTheme="minorEastAsia" w:hAnsiTheme="minorEastAsia" w:cs="Arial" w:hint="eastAsia"/>
          <w:sz w:val="24"/>
        </w:rPr>
        <w:lastRenderedPageBreak/>
        <w:t>注册的文本为正式文本。</w:t>
      </w:r>
    </w:p>
    <w:p w14:paraId="0D3823DB"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3DC446A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（三）托管协议自生效之日起对托管协议当事人具有同等的法律约束力。</w:t>
      </w:r>
    </w:p>
    <w:p w14:paraId="2DD82494"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sz w:val="30"/>
          <w:szCs w:val="30"/>
        </w:rPr>
      </w:pPr>
      <w:r w:rsidRPr="00A4590A">
        <w:rPr>
          <w:rFonts w:asciiTheme="minorEastAsia" w:eastAsiaTheme="minorEastAsia" w:hAnsiTheme="minorEastAsia" w:cs="Arial" w:hint="eastAsia"/>
          <w:sz w:val="24"/>
        </w:rPr>
        <w:t>（四）本协议一式六份，协议双方各持二份，上报监管机构二份，每份具有同等的法律效力。</w:t>
      </w:r>
    </w:p>
    <w:p w14:paraId="5800116A" w14:textId="77777777" w:rsidR="00D75768" w:rsidRPr="00A4590A" w:rsidRDefault="00D75768" w:rsidP="00A4590A">
      <w:pPr>
        <w:adjustRightInd w:val="0"/>
        <w:snapToGrid w:val="0"/>
        <w:spacing w:line="360" w:lineRule="auto"/>
        <w:rPr>
          <w:rFonts w:asciiTheme="minorEastAsia" w:eastAsiaTheme="minorEastAsia" w:hAnsiTheme="minorEastAsia" w:cs="Arial"/>
          <w:sz w:val="24"/>
        </w:rPr>
      </w:pPr>
    </w:p>
    <w:p w14:paraId="15A8EC92"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98" w:name="_Toc124325904"/>
      <w:r w:rsidRPr="00A4590A">
        <w:rPr>
          <w:rFonts w:asciiTheme="minorEastAsia" w:eastAsiaTheme="minorEastAsia" w:hAnsiTheme="minorEastAsia" w:hint="eastAsia"/>
          <w:sz w:val="30"/>
        </w:rPr>
        <w:t>二十、其他事项</w:t>
      </w:r>
      <w:bookmarkEnd w:id="98"/>
    </w:p>
    <w:p w14:paraId="0C886772"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如发生有权司法机关依法冻结基金份额持有人的基金份额时，基金管理人应予以配合，承担司法协助义务。</w:t>
      </w:r>
    </w:p>
    <w:p w14:paraId="67F5420D"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除本协议有明确定义外，本协议的用语定义适用《基金合同》的约定。本协议未尽事宜，当事人依据《基金合同》、有关法律法规等规定协商办理。</w:t>
      </w:r>
    </w:p>
    <w:p w14:paraId="46F3CB0F" w14:textId="77777777" w:rsidR="00D75768" w:rsidRPr="00A4590A" w:rsidRDefault="00D75768" w:rsidP="00A4590A">
      <w:pPr>
        <w:adjustRightInd w:val="0"/>
        <w:snapToGrid w:val="0"/>
        <w:spacing w:line="360" w:lineRule="auto"/>
        <w:rPr>
          <w:rFonts w:asciiTheme="minorEastAsia" w:eastAsiaTheme="minorEastAsia" w:hAnsiTheme="minorEastAsia"/>
          <w:b/>
          <w:bCs/>
        </w:rPr>
      </w:pPr>
    </w:p>
    <w:p w14:paraId="11C1CC3A" w14:textId="77777777" w:rsidR="00D75768" w:rsidRPr="00A4590A" w:rsidRDefault="00D75768" w:rsidP="00A4590A">
      <w:pPr>
        <w:pStyle w:val="2"/>
        <w:spacing w:line="360" w:lineRule="auto"/>
        <w:jc w:val="center"/>
        <w:rPr>
          <w:rFonts w:asciiTheme="minorEastAsia" w:eastAsiaTheme="minorEastAsia" w:hAnsiTheme="minorEastAsia"/>
          <w:sz w:val="30"/>
        </w:rPr>
      </w:pPr>
      <w:bookmarkStart w:id="99" w:name="_Toc124325905"/>
      <w:r w:rsidRPr="00A4590A">
        <w:rPr>
          <w:rFonts w:asciiTheme="minorEastAsia" w:eastAsiaTheme="minorEastAsia" w:hAnsiTheme="minorEastAsia" w:hint="eastAsia"/>
          <w:sz w:val="30"/>
        </w:rPr>
        <w:t>二十一、托管协议的签订</w:t>
      </w:r>
      <w:bookmarkEnd w:id="99"/>
    </w:p>
    <w:p w14:paraId="52C49560" w14:textId="77777777" w:rsidR="00D75768" w:rsidRPr="00A4590A" w:rsidRDefault="00D75768" w:rsidP="00A4590A">
      <w:pPr>
        <w:adjustRightInd w:val="0"/>
        <w:snapToGrid w:val="0"/>
        <w:spacing w:line="360" w:lineRule="auto"/>
        <w:ind w:firstLineChars="200" w:firstLine="480"/>
        <w:rPr>
          <w:rFonts w:asciiTheme="minorEastAsia" w:eastAsiaTheme="minorEastAsia" w:hAnsiTheme="minorEastAsia" w:cs="Arial"/>
          <w:sz w:val="24"/>
        </w:rPr>
      </w:pPr>
      <w:r w:rsidRPr="00A4590A">
        <w:rPr>
          <w:rFonts w:asciiTheme="minorEastAsia" w:eastAsiaTheme="minorEastAsia" w:hAnsiTheme="minorEastAsia" w:cs="Arial" w:hint="eastAsia"/>
          <w:sz w:val="24"/>
        </w:rPr>
        <w:t>本协议双方法定代表人或授权代表签章、签订地、签订日</w:t>
      </w:r>
    </w:p>
    <w:p w14:paraId="2D5A0ACF" w14:textId="77777777" w:rsidR="001B66B0" w:rsidRPr="00A4590A" w:rsidRDefault="001B66B0" w:rsidP="00A4590A">
      <w:pPr>
        <w:spacing w:line="360" w:lineRule="auto"/>
        <w:rPr>
          <w:rFonts w:asciiTheme="minorEastAsia" w:eastAsiaTheme="minorEastAsia" w:hAnsiTheme="minorEastAsia"/>
        </w:rPr>
      </w:pPr>
    </w:p>
    <w:sectPr w:rsidR="001B66B0" w:rsidRPr="00A4590A" w:rsidSect="00A4590A">
      <w:headerReference w:type="default" r:id="rId9"/>
      <w:footerReference w:type="default" r:id="rId10"/>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736C11" w14:textId="77777777" w:rsidR="006A4F68" w:rsidRDefault="006A4F68" w:rsidP="00D75768">
      <w:r>
        <w:separator/>
      </w:r>
    </w:p>
  </w:endnote>
  <w:endnote w:type="continuationSeparator" w:id="0">
    <w:p w14:paraId="523B9620" w14:textId="77777777" w:rsidR="006A4F68" w:rsidRDefault="006A4F68" w:rsidP="00D75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099696"/>
      <w:docPartObj>
        <w:docPartGallery w:val="Page Numbers (Bottom of Page)"/>
        <w:docPartUnique/>
      </w:docPartObj>
    </w:sdtPr>
    <w:sdtContent>
      <w:p w14:paraId="353EBC9B" w14:textId="360AF9C7" w:rsidR="00A4590A" w:rsidRDefault="00A4590A">
        <w:pPr>
          <w:pStyle w:val="a5"/>
          <w:jc w:val="center"/>
        </w:pPr>
        <w:r>
          <w:fldChar w:fldCharType="begin"/>
        </w:r>
        <w:r>
          <w:instrText>PAGE   \* MERGEFORMAT</w:instrText>
        </w:r>
        <w:r>
          <w:fldChar w:fldCharType="separate"/>
        </w:r>
        <w:r w:rsidRPr="00A4590A">
          <w:rPr>
            <w:noProof/>
            <w:lang w:val="zh-CN"/>
          </w:rPr>
          <w:t>3</w:t>
        </w:r>
        <w:r>
          <w:fldChar w:fldCharType="end"/>
        </w:r>
      </w:p>
    </w:sdtContent>
  </w:sdt>
  <w:p w14:paraId="6A393991" w14:textId="77777777" w:rsidR="00A84C48" w:rsidRDefault="00A84C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FDFE4" w14:textId="77777777" w:rsidR="006A4F68" w:rsidRDefault="006A4F68" w:rsidP="00D75768">
      <w:r>
        <w:separator/>
      </w:r>
    </w:p>
  </w:footnote>
  <w:footnote w:type="continuationSeparator" w:id="0">
    <w:p w14:paraId="3EA674DE" w14:textId="77777777" w:rsidR="006A4F68" w:rsidRDefault="006A4F68" w:rsidP="00D75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F18F6" w14:textId="77777777" w:rsidR="00A4590A" w:rsidRPr="00D127A7" w:rsidRDefault="00A4590A" w:rsidP="009449E6">
    <w:pPr>
      <w:pStyle w:val="a4"/>
      <w:jc w:val="left"/>
    </w:pPr>
    <w:proofErr w:type="gramStart"/>
    <w:r w:rsidRPr="00D127A7">
      <w:t>汇添富</w:t>
    </w:r>
    <w:r>
      <w:t>悦享</w:t>
    </w:r>
    <w:proofErr w:type="gramEnd"/>
    <w:r>
      <w:t>定期开放混合型证券投资基金</w:t>
    </w:r>
    <w:r>
      <w:rPr>
        <w:rFonts w:hint="eastAsia"/>
      </w:rPr>
      <w:t xml:space="preserve">                                   </w:t>
    </w:r>
    <w:r>
      <w:t xml:space="preserve">            </w:t>
    </w:r>
    <w:r>
      <w:rPr>
        <w:rFonts w:hint="eastAsia"/>
      </w:rP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F9DA9" w14:textId="62C2309E" w:rsidR="00A84C48" w:rsidRDefault="00A84C48" w:rsidP="009449E6">
    <w:pPr>
      <w:pStyle w:val="a4"/>
      <w:jc w:val="left"/>
    </w:pPr>
    <w:proofErr w:type="gramStart"/>
    <w:r>
      <w:t>汇添富</w:t>
    </w:r>
    <w:r w:rsidR="009B29A4">
      <w:t>悦享</w:t>
    </w:r>
    <w:proofErr w:type="gramEnd"/>
    <w:r>
      <w:t>定期开放混合型证券投资基金</w:t>
    </w:r>
    <w:r>
      <w:rPr>
        <w:rFonts w:hint="eastAsia"/>
      </w:rPr>
      <w:t xml:space="preserve">                                   </w:t>
    </w:r>
    <w:r>
      <w:t xml:space="preserve">   </w:t>
    </w:r>
    <w:r>
      <w:rPr>
        <w:rFonts w:hint="eastAsia"/>
      </w:rPr>
      <w:t>托管协议（草案）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7358E4"/>
    <w:multiLevelType w:val="hybridMultilevel"/>
    <w:tmpl w:val="66FC71CE"/>
    <w:lvl w:ilvl="0" w:tplc="C954492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46"/>
    <w:rsid w:val="00073384"/>
    <w:rsid w:val="00130A17"/>
    <w:rsid w:val="0013138C"/>
    <w:rsid w:val="001A71F1"/>
    <w:rsid w:val="001B66B0"/>
    <w:rsid w:val="001C1469"/>
    <w:rsid w:val="00275C35"/>
    <w:rsid w:val="00281F2C"/>
    <w:rsid w:val="00321126"/>
    <w:rsid w:val="00343C71"/>
    <w:rsid w:val="00351C36"/>
    <w:rsid w:val="00372857"/>
    <w:rsid w:val="003B5AD7"/>
    <w:rsid w:val="003C7F41"/>
    <w:rsid w:val="00507D25"/>
    <w:rsid w:val="00531F03"/>
    <w:rsid w:val="006148F5"/>
    <w:rsid w:val="006A4F68"/>
    <w:rsid w:val="00817A14"/>
    <w:rsid w:val="00872812"/>
    <w:rsid w:val="009232C4"/>
    <w:rsid w:val="009449E6"/>
    <w:rsid w:val="009B29A4"/>
    <w:rsid w:val="00A05CBC"/>
    <w:rsid w:val="00A4590A"/>
    <w:rsid w:val="00A84C48"/>
    <w:rsid w:val="00A91D3C"/>
    <w:rsid w:val="00A96A63"/>
    <w:rsid w:val="00AC0DE2"/>
    <w:rsid w:val="00B20017"/>
    <w:rsid w:val="00B204E8"/>
    <w:rsid w:val="00B81576"/>
    <w:rsid w:val="00BD77EA"/>
    <w:rsid w:val="00C52BD5"/>
    <w:rsid w:val="00C923EF"/>
    <w:rsid w:val="00CB100B"/>
    <w:rsid w:val="00D25618"/>
    <w:rsid w:val="00D31D27"/>
    <w:rsid w:val="00D327F5"/>
    <w:rsid w:val="00D36C6B"/>
    <w:rsid w:val="00D75768"/>
    <w:rsid w:val="00F01746"/>
    <w:rsid w:val="00F630B7"/>
    <w:rsid w:val="00F82D63"/>
    <w:rsid w:val="00F93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ED31B74"/>
  <w15:docId w15:val="{A1054457-AC62-467C-ACB9-FF54E8B1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768"/>
    <w:pPr>
      <w:widowControl w:val="0"/>
      <w:jc w:val="both"/>
    </w:pPr>
    <w:rPr>
      <w:rFonts w:ascii="Times New Roman" w:eastAsia="宋体" w:hAnsi="Times New Roman" w:cs="Times New Roman"/>
      <w:szCs w:val="24"/>
    </w:rPr>
  </w:style>
  <w:style w:type="paragraph" w:styleId="2">
    <w:name w:val="heading 2"/>
    <w:basedOn w:val="a"/>
    <w:next w:val="a0"/>
    <w:link w:val="2Char"/>
    <w:qFormat/>
    <w:rsid w:val="00D75768"/>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D75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75768"/>
    <w:rPr>
      <w:sz w:val="18"/>
      <w:szCs w:val="18"/>
    </w:rPr>
  </w:style>
  <w:style w:type="paragraph" w:styleId="a5">
    <w:name w:val="footer"/>
    <w:basedOn w:val="a"/>
    <w:link w:val="Char0"/>
    <w:uiPriority w:val="99"/>
    <w:unhideWhenUsed/>
    <w:rsid w:val="00D75768"/>
    <w:pPr>
      <w:tabs>
        <w:tab w:val="center" w:pos="4153"/>
        <w:tab w:val="right" w:pos="8306"/>
      </w:tabs>
      <w:snapToGrid w:val="0"/>
      <w:jc w:val="left"/>
    </w:pPr>
    <w:rPr>
      <w:sz w:val="18"/>
      <w:szCs w:val="18"/>
    </w:rPr>
  </w:style>
  <w:style w:type="character" w:customStyle="1" w:styleId="Char0">
    <w:name w:val="页脚 Char"/>
    <w:basedOn w:val="a1"/>
    <w:link w:val="a5"/>
    <w:uiPriority w:val="99"/>
    <w:rsid w:val="00D75768"/>
    <w:rPr>
      <w:sz w:val="18"/>
      <w:szCs w:val="18"/>
    </w:rPr>
  </w:style>
  <w:style w:type="character" w:customStyle="1" w:styleId="2Char">
    <w:name w:val="标题 2 Char"/>
    <w:basedOn w:val="a1"/>
    <w:link w:val="2"/>
    <w:rsid w:val="00D75768"/>
    <w:rPr>
      <w:rFonts w:ascii="Arial" w:eastAsia="黑体" w:hAnsi="Arial" w:cs="Times New Roman"/>
      <w:b/>
      <w:sz w:val="32"/>
      <w:szCs w:val="20"/>
    </w:rPr>
  </w:style>
  <w:style w:type="character" w:styleId="a6">
    <w:name w:val="page number"/>
    <w:basedOn w:val="a1"/>
    <w:rsid w:val="00D75768"/>
  </w:style>
  <w:style w:type="paragraph" w:styleId="a7">
    <w:name w:val="Normal (Web)"/>
    <w:basedOn w:val="a"/>
    <w:rsid w:val="00D75768"/>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75768"/>
    <w:rPr>
      <w:b/>
      <w:bCs/>
    </w:rPr>
  </w:style>
  <w:style w:type="character" w:styleId="a9">
    <w:name w:val="Hyperlink"/>
    <w:rsid w:val="00D75768"/>
    <w:rPr>
      <w:color w:val="0000FF"/>
      <w:u w:val="single"/>
    </w:rPr>
  </w:style>
  <w:style w:type="paragraph" w:customStyle="1" w:styleId="wz1">
    <w:name w:val="wz1"/>
    <w:basedOn w:val="a"/>
    <w:rsid w:val="00D75768"/>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75768"/>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D75768"/>
    <w:rPr>
      <w:rFonts w:ascii="仿宋_GB2312" w:eastAsia="仿宋_GB2312" w:hAnsi="Times New Roman" w:cs="Times New Roman"/>
      <w:color w:val="000000"/>
      <w:kern w:val="0"/>
      <w:sz w:val="24"/>
      <w:szCs w:val="28"/>
    </w:rPr>
  </w:style>
  <w:style w:type="character" w:customStyle="1" w:styleId="read">
    <w:name w:val="read"/>
    <w:basedOn w:val="a1"/>
    <w:rsid w:val="00D75768"/>
  </w:style>
  <w:style w:type="paragraph" w:styleId="a0">
    <w:name w:val="Normal Indent"/>
    <w:basedOn w:val="a"/>
    <w:rsid w:val="00D75768"/>
    <w:pPr>
      <w:ind w:firstLineChars="200" w:firstLine="420"/>
    </w:pPr>
  </w:style>
  <w:style w:type="paragraph" w:styleId="ab">
    <w:name w:val="Body Text Indent"/>
    <w:basedOn w:val="a"/>
    <w:link w:val="Char2"/>
    <w:rsid w:val="00D75768"/>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D75768"/>
    <w:rPr>
      <w:rFonts w:ascii="Times New Roman" w:eastAsia="方正仿宋简体" w:hAnsi="Times New Roman" w:cs="Times New Roman"/>
      <w:sz w:val="24"/>
      <w:szCs w:val="30"/>
    </w:rPr>
  </w:style>
  <w:style w:type="paragraph" w:styleId="20">
    <w:name w:val="Body Text Indent 2"/>
    <w:basedOn w:val="a"/>
    <w:link w:val="2Char0"/>
    <w:rsid w:val="00D75768"/>
    <w:pPr>
      <w:spacing w:line="360" w:lineRule="auto"/>
      <w:ind w:firstLine="525"/>
    </w:pPr>
    <w:rPr>
      <w:rFonts w:ascii="宋体" w:hAnsi="宋体"/>
      <w:sz w:val="28"/>
      <w:szCs w:val="20"/>
    </w:rPr>
  </w:style>
  <w:style w:type="character" w:customStyle="1" w:styleId="2Char0">
    <w:name w:val="正文文本缩进 2 Char"/>
    <w:basedOn w:val="a1"/>
    <w:link w:val="20"/>
    <w:rsid w:val="00D75768"/>
    <w:rPr>
      <w:rFonts w:ascii="宋体" w:eastAsia="宋体" w:hAnsi="宋体" w:cs="Times New Roman"/>
      <w:sz w:val="28"/>
      <w:szCs w:val="20"/>
    </w:rPr>
  </w:style>
  <w:style w:type="paragraph" w:styleId="3">
    <w:name w:val="Body Text Indent 3"/>
    <w:basedOn w:val="a"/>
    <w:link w:val="3Char"/>
    <w:rsid w:val="00D75768"/>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D75768"/>
    <w:rPr>
      <w:rFonts w:ascii="仿宋_GB2312" w:eastAsia="仿宋_GB2312" w:hAnsi="宋体" w:cs="Arial"/>
      <w:color w:val="000000"/>
      <w:sz w:val="24"/>
      <w:szCs w:val="24"/>
    </w:rPr>
  </w:style>
  <w:style w:type="paragraph" w:styleId="1">
    <w:name w:val="toc 1"/>
    <w:basedOn w:val="a"/>
    <w:next w:val="a"/>
    <w:autoRedefine/>
    <w:semiHidden/>
    <w:rsid w:val="00D75768"/>
  </w:style>
  <w:style w:type="paragraph" w:styleId="21">
    <w:name w:val="toc 2"/>
    <w:basedOn w:val="a"/>
    <w:next w:val="a"/>
    <w:autoRedefine/>
    <w:semiHidden/>
    <w:rsid w:val="00D75768"/>
    <w:pPr>
      <w:tabs>
        <w:tab w:val="right" w:leader="dot" w:pos="8494"/>
      </w:tabs>
      <w:ind w:leftChars="200" w:left="420"/>
    </w:pPr>
  </w:style>
  <w:style w:type="paragraph" w:styleId="30">
    <w:name w:val="toc 3"/>
    <w:basedOn w:val="a"/>
    <w:next w:val="a"/>
    <w:autoRedefine/>
    <w:semiHidden/>
    <w:rsid w:val="00D75768"/>
    <w:pPr>
      <w:ind w:leftChars="400" w:left="840"/>
    </w:pPr>
  </w:style>
  <w:style w:type="paragraph" w:styleId="4">
    <w:name w:val="toc 4"/>
    <w:basedOn w:val="a"/>
    <w:next w:val="a"/>
    <w:autoRedefine/>
    <w:semiHidden/>
    <w:rsid w:val="00D75768"/>
    <w:pPr>
      <w:ind w:leftChars="600" w:left="1260"/>
    </w:pPr>
  </w:style>
  <w:style w:type="paragraph" w:styleId="5">
    <w:name w:val="toc 5"/>
    <w:basedOn w:val="a"/>
    <w:next w:val="a"/>
    <w:autoRedefine/>
    <w:semiHidden/>
    <w:rsid w:val="00D75768"/>
    <w:pPr>
      <w:ind w:leftChars="800" w:left="1680"/>
    </w:pPr>
  </w:style>
  <w:style w:type="paragraph" w:styleId="6">
    <w:name w:val="toc 6"/>
    <w:basedOn w:val="a"/>
    <w:next w:val="a"/>
    <w:autoRedefine/>
    <w:semiHidden/>
    <w:rsid w:val="00D75768"/>
    <w:pPr>
      <w:ind w:leftChars="1000" w:left="2100"/>
    </w:pPr>
  </w:style>
  <w:style w:type="paragraph" w:styleId="7">
    <w:name w:val="toc 7"/>
    <w:basedOn w:val="a"/>
    <w:next w:val="a"/>
    <w:autoRedefine/>
    <w:semiHidden/>
    <w:rsid w:val="00D75768"/>
    <w:pPr>
      <w:ind w:leftChars="1200" w:left="2520"/>
    </w:pPr>
  </w:style>
  <w:style w:type="paragraph" w:styleId="8">
    <w:name w:val="toc 8"/>
    <w:basedOn w:val="a"/>
    <w:next w:val="a"/>
    <w:autoRedefine/>
    <w:semiHidden/>
    <w:rsid w:val="00D75768"/>
    <w:pPr>
      <w:ind w:leftChars="1400" w:left="2940"/>
    </w:pPr>
  </w:style>
  <w:style w:type="paragraph" w:styleId="9">
    <w:name w:val="toc 9"/>
    <w:basedOn w:val="a"/>
    <w:next w:val="a"/>
    <w:autoRedefine/>
    <w:semiHidden/>
    <w:rsid w:val="00D75768"/>
    <w:pPr>
      <w:ind w:leftChars="1600" w:left="3360"/>
    </w:pPr>
  </w:style>
  <w:style w:type="paragraph" w:styleId="ac">
    <w:name w:val="Balloon Text"/>
    <w:basedOn w:val="a"/>
    <w:link w:val="Char3"/>
    <w:semiHidden/>
    <w:rsid w:val="00D75768"/>
    <w:rPr>
      <w:sz w:val="18"/>
      <w:szCs w:val="18"/>
    </w:rPr>
  </w:style>
  <w:style w:type="character" w:customStyle="1" w:styleId="Char3">
    <w:name w:val="批注框文本 Char"/>
    <w:basedOn w:val="a1"/>
    <w:link w:val="ac"/>
    <w:semiHidden/>
    <w:rsid w:val="00D75768"/>
    <w:rPr>
      <w:rFonts w:ascii="Times New Roman" w:eastAsia="宋体" w:hAnsi="Times New Roman" w:cs="Times New Roman"/>
      <w:sz w:val="18"/>
      <w:szCs w:val="18"/>
    </w:rPr>
  </w:style>
  <w:style w:type="paragraph" w:customStyle="1" w:styleId="Char4">
    <w:name w:val="Char"/>
    <w:basedOn w:val="a"/>
    <w:rsid w:val="00D75768"/>
  </w:style>
  <w:style w:type="paragraph" w:customStyle="1" w:styleId="Char10">
    <w:name w:val="Char1"/>
    <w:basedOn w:val="a"/>
    <w:autoRedefine/>
    <w:rsid w:val="00D75768"/>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75768"/>
  </w:style>
  <w:style w:type="character" w:styleId="ad">
    <w:name w:val="annotation reference"/>
    <w:semiHidden/>
    <w:rsid w:val="00D75768"/>
    <w:rPr>
      <w:sz w:val="21"/>
      <w:szCs w:val="21"/>
    </w:rPr>
  </w:style>
  <w:style w:type="paragraph" w:styleId="ae">
    <w:name w:val="annotation text"/>
    <w:basedOn w:val="a"/>
    <w:link w:val="Char5"/>
    <w:semiHidden/>
    <w:rsid w:val="00D75768"/>
    <w:pPr>
      <w:jc w:val="left"/>
    </w:pPr>
  </w:style>
  <w:style w:type="character" w:customStyle="1" w:styleId="Char5">
    <w:name w:val="批注文字 Char"/>
    <w:basedOn w:val="a1"/>
    <w:link w:val="ae"/>
    <w:semiHidden/>
    <w:rsid w:val="00D75768"/>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D75768"/>
  </w:style>
  <w:style w:type="paragraph" w:customStyle="1" w:styleId="CharChar">
    <w:name w:val="Char Char"/>
    <w:basedOn w:val="a"/>
    <w:rsid w:val="00D75768"/>
    <w:rPr>
      <w:szCs w:val="20"/>
    </w:rPr>
  </w:style>
  <w:style w:type="paragraph" w:styleId="HTML">
    <w:name w:val="HTML Preformatted"/>
    <w:basedOn w:val="a"/>
    <w:link w:val="HTMLChar"/>
    <w:uiPriority w:val="99"/>
    <w:unhideWhenUsed/>
    <w:rsid w:val="00D75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D75768"/>
    <w:rPr>
      <w:rFonts w:ascii="宋体" w:eastAsia="宋体" w:hAnsi="宋体" w:cs="宋体"/>
      <w:kern w:val="0"/>
      <w:sz w:val="24"/>
      <w:szCs w:val="24"/>
    </w:rPr>
  </w:style>
  <w:style w:type="paragraph" w:styleId="af">
    <w:name w:val="annotation subject"/>
    <w:basedOn w:val="ae"/>
    <w:next w:val="ae"/>
    <w:link w:val="Char6"/>
    <w:rsid w:val="00D75768"/>
    <w:rPr>
      <w:b/>
      <w:bCs/>
    </w:rPr>
  </w:style>
  <w:style w:type="character" w:customStyle="1" w:styleId="Char6">
    <w:name w:val="批注主题 Char"/>
    <w:basedOn w:val="Char5"/>
    <w:link w:val="af"/>
    <w:rsid w:val="00D75768"/>
    <w:rPr>
      <w:rFonts w:ascii="Times New Roman" w:eastAsia="宋体" w:hAnsi="Times New Roman" w:cs="Times New Roman"/>
      <w:b/>
      <w:bCs/>
      <w:szCs w:val="24"/>
    </w:rPr>
  </w:style>
  <w:style w:type="character" w:customStyle="1" w:styleId="af0">
    <w:name w:val="已访问的超链接"/>
    <w:uiPriority w:val="99"/>
    <w:semiHidden/>
    <w:unhideWhenUsed/>
    <w:rsid w:val="00D75768"/>
    <w:rPr>
      <w:color w:val="800080"/>
      <w:u w:val="single"/>
    </w:rPr>
  </w:style>
  <w:style w:type="paragraph" w:styleId="af1">
    <w:name w:val="Revision"/>
    <w:hidden/>
    <w:uiPriority w:val="99"/>
    <w:semiHidden/>
    <w:rsid w:val="00D75768"/>
    <w:rPr>
      <w:rFonts w:ascii="Times New Roman" w:eastAsia="宋体" w:hAnsi="Times New Roman" w:cs="Times New Roman"/>
      <w:szCs w:val="24"/>
    </w:rPr>
  </w:style>
  <w:style w:type="paragraph" w:styleId="af2">
    <w:name w:val="List Paragraph"/>
    <w:basedOn w:val="a"/>
    <w:uiPriority w:val="34"/>
    <w:qFormat/>
    <w:rsid w:val="00D75768"/>
    <w:pPr>
      <w:ind w:firstLineChars="200" w:firstLine="420"/>
    </w:pPr>
  </w:style>
  <w:style w:type="character" w:styleId="af3">
    <w:name w:val="FollowedHyperlink"/>
    <w:basedOn w:val="a1"/>
    <w:uiPriority w:val="99"/>
    <w:semiHidden/>
    <w:unhideWhenUsed/>
    <w:rsid w:val="00D757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DA32-A269-480D-8C05-921F44C3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4891</Words>
  <Characters>27879</Characters>
  <Application>Microsoft Office Word</Application>
  <DocSecurity>0</DocSecurity>
  <Lines>232</Lines>
  <Paragraphs>65</Paragraphs>
  <ScaleCrop>false</ScaleCrop>
  <Company/>
  <LinksUpToDate>false</LinksUpToDate>
  <CharactersWithSpaces>32705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徐真</dc:creator>
  <cp:keywords/>
  <dc:description/>
  <cp:lastModifiedBy>何丝宇</cp:lastModifiedBy>
  <cp:revision>6</cp:revision>
  <dcterms:created xsi:type="dcterms:W3CDTF">2018-07-04T07:34:00Z</dcterms:created>
  <dcterms:modified xsi:type="dcterms:W3CDTF">2018-11-30T07:17:00Z</dcterms:modified>
</cp:coreProperties>
</file>