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B7A" w:rsidRDefault="00346B7A">
      <w:pPr>
        <w:adjustRightInd w:val="0"/>
        <w:snapToGrid w:val="0"/>
        <w:jc w:val="center"/>
        <w:rPr>
          <w:rFonts w:asciiTheme="minorEastAsia" w:hAnsiTheme="minorEastAsia" w:cs="Arial"/>
          <w:sz w:val="24"/>
        </w:rPr>
      </w:pPr>
    </w:p>
    <w:p w:rsidR="00346B7A" w:rsidRDefault="00346B7A">
      <w:pPr>
        <w:adjustRightInd w:val="0"/>
        <w:snapToGrid w:val="0"/>
        <w:jc w:val="center"/>
        <w:rPr>
          <w:rFonts w:asciiTheme="minorEastAsia" w:hAnsiTheme="minorEastAsia" w:cs="Arial"/>
          <w:sz w:val="24"/>
        </w:rPr>
      </w:pPr>
    </w:p>
    <w:p w:rsidR="00346B7A" w:rsidRDefault="00346B7A">
      <w:pPr>
        <w:adjustRightInd w:val="0"/>
        <w:snapToGrid w:val="0"/>
        <w:jc w:val="center"/>
        <w:rPr>
          <w:rFonts w:asciiTheme="minorEastAsia" w:hAnsiTheme="minorEastAsia" w:cs="Arial"/>
          <w:sz w:val="24"/>
        </w:rPr>
      </w:pPr>
    </w:p>
    <w:p w:rsidR="00346B7A" w:rsidRDefault="00346B7A">
      <w:pPr>
        <w:adjustRightInd w:val="0"/>
        <w:snapToGrid w:val="0"/>
        <w:jc w:val="center"/>
        <w:rPr>
          <w:rFonts w:asciiTheme="minorEastAsia" w:hAnsiTheme="minorEastAsia" w:cs="Arial"/>
          <w:sz w:val="24"/>
        </w:rPr>
      </w:pPr>
    </w:p>
    <w:p w:rsidR="00346B7A" w:rsidRDefault="00346B7A">
      <w:pPr>
        <w:adjustRightInd w:val="0"/>
        <w:snapToGrid w:val="0"/>
        <w:jc w:val="center"/>
        <w:rPr>
          <w:rFonts w:asciiTheme="minorEastAsia" w:hAnsiTheme="minorEastAsia" w:cs="Arial"/>
          <w:sz w:val="24"/>
        </w:rPr>
      </w:pPr>
    </w:p>
    <w:p w:rsidR="00346B7A" w:rsidRDefault="00346B7A">
      <w:pPr>
        <w:adjustRightInd w:val="0"/>
        <w:snapToGrid w:val="0"/>
        <w:jc w:val="center"/>
        <w:rPr>
          <w:rFonts w:asciiTheme="minorEastAsia" w:hAnsiTheme="minorEastAsia" w:cs="Arial"/>
          <w:sz w:val="24"/>
        </w:rPr>
      </w:pPr>
    </w:p>
    <w:p w:rsidR="00346B7A" w:rsidRDefault="00346B7A" w:rsidP="00C15B60">
      <w:pPr>
        <w:adjustRightInd w:val="0"/>
        <w:snapToGrid w:val="0"/>
        <w:rPr>
          <w:rFonts w:asciiTheme="minorEastAsia" w:hAnsiTheme="minorEastAsia" w:cs="Arial"/>
          <w:sz w:val="24"/>
        </w:rPr>
      </w:pPr>
    </w:p>
    <w:p w:rsidR="00346B7A" w:rsidRDefault="00346B7A">
      <w:pPr>
        <w:adjustRightInd w:val="0"/>
        <w:snapToGrid w:val="0"/>
        <w:jc w:val="center"/>
        <w:rPr>
          <w:rFonts w:asciiTheme="minorEastAsia" w:hAnsiTheme="minorEastAsia" w:cs="Arial"/>
          <w:sz w:val="24"/>
        </w:rPr>
      </w:pPr>
    </w:p>
    <w:p w:rsidR="00346B7A" w:rsidRDefault="00346B7A">
      <w:pPr>
        <w:adjustRightInd w:val="0"/>
        <w:snapToGrid w:val="0"/>
        <w:jc w:val="center"/>
        <w:rPr>
          <w:rFonts w:asciiTheme="minorEastAsia" w:hAnsiTheme="minorEastAsia" w:cs="Arial"/>
          <w:sz w:val="24"/>
        </w:rPr>
      </w:pPr>
    </w:p>
    <w:p w:rsidR="00346B7A" w:rsidRPr="00C15B60" w:rsidRDefault="00C434A0" w:rsidP="00321BED">
      <w:pPr>
        <w:widowControl/>
        <w:adjustRightInd w:val="0"/>
        <w:snapToGrid w:val="0"/>
        <w:spacing w:line="360" w:lineRule="auto"/>
        <w:ind w:firstLineChars="200" w:firstLine="883"/>
        <w:jc w:val="center"/>
        <w:rPr>
          <w:rFonts w:asciiTheme="minorEastAsia" w:hAnsiTheme="minorEastAsia" w:cs="Arial"/>
          <w:b/>
          <w:kern w:val="0"/>
          <w:sz w:val="44"/>
          <w:szCs w:val="44"/>
        </w:rPr>
      </w:pPr>
      <w:r w:rsidRPr="00C15B60">
        <w:rPr>
          <w:rFonts w:asciiTheme="minorEastAsia" w:hAnsiTheme="minorEastAsia" w:cs="Arial" w:hint="eastAsia"/>
          <w:b/>
          <w:kern w:val="0"/>
          <w:sz w:val="44"/>
          <w:szCs w:val="44"/>
        </w:rPr>
        <w:t>银华安鑫短债债券型证券投资基金</w:t>
      </w:r>
    </w:p>
    <w:p w:rsidR="00346B7A" w:rsidRPr="00C15B60" w:rsidRDefault="00C434A0" w:rsidP="00321BED">
      <w:pPr>
        <w:widowControl/>
        <w:adjustRightInd w:val="0"/>
        <w:snapToGrid w:val="0"/>
        <w:spacing w:line="360" w:lineRule="auto"/>
        <w:ind w:firstLineChars="200" w:firstLine="883"/>
        <w:jc w:val="center"/>
        <w:rPr>
          <w:rFonts w:asciiTheme="minorEastAsia" w:hAnsiTheme="minorEastAsia" w:cs="Arial"/>
          <w:b/>
          <w:kern w:val="0"/>
          <w:sz w:val="44"/>
          <w:szCs w:val="44"/>
        </w:rPr>
      </w:pPr>
      <w:r w:rsidRPr="00C15B60">
        <w:rPr>
          <w:rFonts w:asciiTheme="minorEastAsia" w:hAnsiTheme="minorEastAsia" w:cs="Arial" w:hint="eastAsia"/>
          <w:b/>
          <w:kern w:val="0"/>
          <w:sz w:val="44"/>
          <w:szCs w:val="44"/>
        </w:rPr>
        <w:t>托管协议</w:t>
      </w:r>
    </w:p>
    <w:p w:rsidR="00F840E7" w:rsidRDefault="00F840E7" w:rsidP="00C15B60">
      <w:pPr>
        <w:widowControl/>
        <w:adjustRightInd w:val="0"/>
        <w:snapToGrid w:val="0"/>
        <w:spacing w:line="360" w:lineRule="auto"/>
        <w:ind w:firstLineChars="200" w:firstLine="883"/>
        <w:jc w:val="center"/>
        <w:rPr>
          <w:rFonts w:asciiTheme="minorEastAsia" w:hAnsiTheme="minorEastAsia" w:cs="Arial"/>
          <w:b/>
          <w:kern w:val="0"/>
          <w:sz w:val="44"/>
          <w:szCs w:val="44"/>
        </w:rPr>
      </w:pPr>
    </w:p>
    <w:p w:rsidR="00F840E7" w:rsidRDefault="00F840E7" w:rsidP="00C15B60">
      <w:pPr>
        <w:widowControl/>
        <w:adjustRightInd w:val="0"/>
        <w:snapToGrid w:val="0"/>
        <w:spacing w:line="360" w:lineRule="auto"/>
        <w:ind w:firstLineChars="200" w:firstLine="883"/>
        <w:jc w:val="center"/>
        <w:rPr>
          <w:rFonts w:asciiTheme="minorEastAsia" w:hAnsiTheme="minorEastAsia" w:cs="Arial"/>
          <w:b/>
          <w:kern w:val="0"/>
          <w:sz w:val="44"/>
          <w:szCs w:val="44"/>
        </w:rPr>
      </w:pPr>
    </w:p>
    <w:p w:rsidR="00F840E7" w:rsidRDefault="00F840E7" w:rsidP="00C15B60">
      <w:pPr>
        <w:widowControl/>
        <w:adjustRightInd w:val="0"/>
        <w:snapToGrid w:val="0"/>
        <w:spacing w:line="360" w:lineRule="auto"/>
        <w:ind w:firstLineChars="200" w:firstLine="883"/>
        <w:jc w:val="center"/>
        <w:rPr>
          <w:rFonts w:asciiTheme="minorEastAsia" w:hAnsiTheme="minorEastAsia" w:cs="Arial"/>
          <w:b/>
          <w:kern w:val="0"/>
          <w:sz w:val="44"/>
          <w:szCs w:val="44"/>
        </w:rPr>
      </w:pPr>
    </w:p>
    <w:p w:rsidR="00F840E7" w:rsidRPr="00C15B60" w:rsidRDefault="00F840E7" w:rsidP="00C15B60">
      <w:pPr>
        <w:widowControl/>
        <w:adjustRightInd w:val="0"/>
        <w:snapToGrid w:val="0"/>
        <w:spacing w:line="360" w:lineRule="auto"/>
        <w:ind w:firstLineChars="200" w:firstLine="883"/>
        <w:jc w:val="center"/>
        <w:rPr>
          <w:rFonts w:asciiTheme="minorEastAsia" w:hAnsiTheme="minorEastAsia" w:cs="Arial"/>
          <w:b/>
          <w:kern w:val="0"/>
          <w:sz w:val="44"/>
          <w:szCs w:val="44"/>
        </w:rPr>
      </w:pPr>
    </w:p>
    <w:p w:rsidR="00346B7A" w:rsidRPr="00C15B60" w:rsidRDefault="00346B7A" w:rsidP="00C15B60">
      <w:pPr>
        <w:widowControl/>
        <w:adjustRightInd w:val="0"/>
        <w:snapToGrid w:val="0"/>
        <w:spacing w:line="360" w:lineRule="auto"/>
        <w:ind w:firstLineChars="200" w:firstLine="883"/>
        <w:jc w:val="center"/>
        <w:rPr>
          <w:rFonts w:asciiTheme="minorEastAsia" w:hAnsiTheme="minorEastAsia" w:cs="Arial"/>
          <w:b/>
          <w:kern w:val="0"/>
          <w:sz w:val="44"/>
          <w:szCs w:val="44"/>
        </w:rPr>
      </w:pPr>
    </w:p>
    <w:p w:rsidR="00346B7A" w:rsidRPr="00C15B60" w:rsidRDefault="00346B7A" w:rsidP="00C15B60">
      <w:pPr>
        <w:widowControl/>
        <w:adjustRightInd w:val="0"/>
        <w:snapToGrid w:val="0"/>
        <w:spacing w:line="360" w:lineRule="auto"/>
        <w:ind w:firstLineChars="200" w:firstLine="883"/>
        <w:jc w:val="center"/>
        <w:rPr>
          <w:rFonts w:asciiTheme="minorEastAsia" w:hAnsiTheme="minorEastAsia" w:cs="Arial"/>
          <w:b/>
          <w:kern w:val="0"/>
          <w:sz w:val="44"/>
          <w:szCs w:val="44"/>
        </w:rPr>
      </w:pPr>
    </w:p>
    <w:p w:rsidR="00346B7A" w:rsidRPr="00C15B60" w:rsidRDefault="00F840E7" w:rsidP="00C15B60">
      <w:pPr>
        <w:widowControl/>
        <w:adjustRightInd w:val="0"/>
        <w:snapToGrid w:val="0"/>
        <w:spacing w:line="360" w:lineRule="auto"/>
        <w:ind w:firstLineChars="200" w:firstLine="602"/>
        <w:jc w:val="center"/>
        <w:rPr>
          <w:rFonts w:asciiTheme="minorEastAsia" w:hAnsiTheme="minorEastAsia" w:cs="Arial"/>
          <w:b/>
          <w:kern w:val="0"/>
          <w:sz w:val="30"/>
          <w:szCs w:val="30"/>
        </w:rPr>
      </w:pPr>
      <w:r>
        <w:rPr>
          <w:rFonts w:asciiTheme="minorEastAsia" w:hAnsiTheme="minorEastAsia" w:cs="Arial" w:hint="eastAsia"/>
          <w:b/>
          <w:kern w:val="0"/>
          <w:sz w:val="30"/>
          <w:szCs w:val="30"/>
        </w:rPr>
        <w:t xml:space="preserve">  </w:t>
      </w:r>
      <w:r w:rsidR="00C434A0" w:rsidRPr="00C15B60">
        <w:rPr>
          <w:rFonts w:asciiTheme="minorEastAsia" w:hAnsiTheme="minorEastAsia" w:cs="Arial" w:hint="eastAsia"/>
          <w:b/>
          <w:kern w:val="0"/>
          <w:sz w:val="30"/>
          <w:szCs w:val="30"/>
        </w:rPr>
        <w:t>基金管理人：银华基金管理股份有限公司</w:t>
      </w:r>
    </w:p>
    <w:p w:rsidR="00346B7A" w:rsidRPr="00C15B60" w:rsidRDefault="00C434A0" w:rsidP="00321BED">
      <w:pPr>
        <w:widowControl/>
        <w:adjustRightInd w:val="0"/>
        <w:snapToGrid w:val="0"/>
        <w:spacing w:line="360" w:lineRule="auto"/>
        <w:ind w:firstLineChars="650" w:firstLine="1958"/>
        <w:rPr>
          <w:rFonts w:asciiTheme="minorEastAsia" w:hAnsiTheme="minorEastAsia" w:cs="Arial"/>
          <w:b/>
          <w:kern w:val="0"/>
          <w:sz w:val="44"/>
          <w:szCs w:val="44"/>
        </w:rPr>
      </w:pPr>
      <w:r w:rsidRPr="00C15B60">
        <w:rPr>
          <w:rFonts w:asciiTheme="minorEastAsia" w:hAnsiTheme="minorEastAsia" w:cs="Arial" w:hint="eastAsia"/>
          <w:b/>
          <w:kern w:val="0"/>
          <w:sz w:val="30"/>
          <w:szCs w:val="30"/>
        </w:rPr>
        <w:t>基金托管人：中国建设银行股份有限公司</w:t>
      </w:r>
    </w:p>
    <w:p w:rsidR="00346B7A" w:rsidRPr="00C15B60" w:rsidRDefault="00C434A0" w:rsidP="00C15B60">
      <w:pPr>
        <w:widowControl/>
        <w:adjustRightInd w:val="0"/>
        <w:snapToGrid w:val="0"/>
        <w:spacing w:line="360" w:lineRule="auto"/>
        <w:ind w:firstLineChars="200" w:firstLine="602"/>
        <w:jc w:val="center"/>
        <w:rPr>
          <w:rFonts w:asciiTheme="minorEastAsia" w:hAnsiTheme="minorEastAsia" w:cs="Arial"/>
          <w:b/>
          <w:kern w:val="0"/>
          <w:sz w:val="30"/>
          <w:szCs w:val="30"/>
        </w:rPr>
      </w:pPr>
      <w:r w:rsidRPr="00C15B60">
        <w:rPr>
          <w:rFonts w:asciiTheme="minorEastAsia" w:hAnsiTheme="minorEastAsia" w:cs="Arial" w:hint="eastAsia"/>
          <w:b/>
          <w:kern w:val="0"/>
          <w:sz w:val="30"/>
          <w:szCs w:val="30"/>
        </w:rPr>
        <w:t>二〇一九年一月</w:t>
      </w:r>
    </w:p>
    <w:p w:rsidR="00346B7A" w:rsidRPr="00C15B60" w:rsidRDefault="00346B7A" w:rsidP="00C15B60">
      <w:pPr>
        <w:widowControl/>
        <w:adjustRightInd w:val="0"/>
        <w:snapToGrid w:val="0"/>
        <w:spacing w:line="360" w:lineRule="auto"/>
        <w:ind w:firstLineChars="200" w:firstLine="883"/>
        <w:jc w:val="center"/>
        <w:rPr>
          <w:rFonts w:asciiTheme="minorEastAsia" w:hAnsiTheme="minorEastAsia" w:cs="Arial"/>
          <w:b/>
          <w:kern w:val="0"/>
          <w:sz w:val="44"/>
          <w:szCs w:val="44"/>
        </w:rPr>
      </w:pPr>
    </w:p>
    <w:p w:rsidR="00346B7A" w:rsidRDefault="00346B7A">
      <w:pPr>
        <w:adjustRightInd w:val="0"/>
        <w:snapToGrid w:val="0"/>
        <w:jc w:val="center"/>
        <w:rPr>
          <w:rFonts w:asciiTheme="minorEastAsia" w:hAnsiTheme="minorEastAsia" w:cs="Arial"/>
          <w:bCs/>
          <w:sz w:val="24"/>
        </w:rPr>
      </w:pPr>
    </w:p>
    <w:p w:rsidR="00346B7A" w:rsidRDefault="00346B7A">
      <w:pPr>
        <w:adjustRightInd w:val="0"/>
        <w:snapToGrid w:val="0"/>
        <w:jc w:val="center"/>
        <w:rPr>
          <w:rFonts w:asciiTheme="minorEastAsia" w:hAnsiTheme="minorEastAsia" w:cs="Arial"/>
          <w:bCs/>
          <w:sz w:val="24"/>
        </w:rPr>
      </w:pPr>
    </w:p>
    <w:p w:rsidR="00346B7A" w:rsidRDefault="00346B7A">
      <w:pPr>
        <w:adjustRightInd w:val="0"/>
        <w:snapToGrid w:val="0"/>
        <w:jc w:val="center"/>
        <w:rPr>
          <w:rFonts w:asciiTheme="minorEastAsia" w:hAnsiTheme="minorEastAsia" w:cs="Arial"/>
          <w:bCs/>
          <w:sz w:val="24"/>
        </w:rPr>
      </w:pPr>
    </w:p>
    <w:p w:rsidR="00346B7A" w:rsidRDefault="00346B7A">
      <w:pPr>
        <w:adjustRightInd w:val="0"/>
        <w:snapToGrid w:val="0"/>
        <w:jc w:val="center"/>
        <w:rPr>
          <w:rFonts w:asciiTheme="minorEastAsia" w:hAnsiTheme="minorEastAsia" w:cs="Arial"/>
          <w:bCs/>
          <w:sz w:val="24"/>
        </w:rPr>
        <w:sectPr w:rsidR="00346B7A">
          <w:footerReference w:type="even" r:id="rId8"/>
          <w:footerReference w:type="default" r:id="rId9"/>
          <w:pgSz w:w="11906" w:h="16838"/>
          <w:pgMar w:top="1418" w:right="1701" w:bottom="1418" w:left="1701" w:header="851" w:footer="992" w:gutter="0"/>
          <w:cols w:space="425"/>
          <w:docGrid w:type="lines" w:linePitch="312"/>
        </w:sectPr>
      </w:pPr>
    </w:p>
    <w:p w:rsidR="00346B7A" w:rsidRDefault="00346B7A">
      <w:pPr>
        <w:adjustRightInd w:val="0"/>
        <w:snapToGrid w:val="0"/>
        <w:rPr>
          <w:rFonts w:asciiTheme="minorEastAsia" w:hAnsiTheme="minorEastAsia" w:cs="Arial"/>
          <w:bCs/>
          <w:sz w:val="24"/>
        </w:rPr>
      </w:pPr>
    </w:p>
    <w:p w:rsidR="00346B7A" w:rsidRDefault="00C434A0">
      <w:pPr>
        <w:jc w:val="center"/>
        <w:rPr>
          <w:rFonts w:asciiTheme="minorEastAsia" w:hAnsiTheme="minorEastAsia"/>
          <w:b/>
          <w:bCs/>
          <w:sz w:val="30"/>
        </w:rPr>
      </w:pPr>
      <w:r>
        <w:rPr>
          <w:rFonts w:asciiTheme="minorEastAsia" w:hAnsiTheme="minorEastAsia" w:hint="eastAsia"/>
          <w:b/>
          <w:bCs/>
          <w:sz w:val="30"/>
        </w:rPr>
        <w:t>目    录</w:t>
      </w:r>
    </w:p>
    <w:p w:rsidR="00346B7A" w:rsidRDefault="00C434A0">
      <w:pPr>
        <w:pStyle w:val="21"/>
        <w:rPr>
          <w:rFonts w:cstheme="minorBidi"/>
          <w:noProof/>
        </w:rPr>
      </w:pPr>
      <w:r>
        <w:rPr>
          <w:rFonts w:hint="eastAsia"/>
        </w:rPr>
        <w:fldChar w:fldCharType="begin"/>
      </w:r>
      <w:r>
        <w:instrText xml:space="preserve"> TOC \o "1-2" \h \z </w:instrText>
      </w:r>
      <w:r>
        <w:rPr>
          <w:rFonts w:hint="eastAsia"/>
        </w:rPr>
        <w:fldChar w:fldCharType="separate"/>
      </w:r>
      <w:hyperlink w:anchor="_Toc516758895" w:history="1">
        <w:r>
          <w:rPr>
            <w:rStyle w:val="af"/>
            <w:rFonts w:asciiTheme="minorEastAsia" w:eastAsiaTheme="minorEastAsia" w:hAnsiTheme="minorEastAsia" w:hint="eastAsia"/>
            <w:noProof/>
            <w:sz w:val="28"/>
            <w:szCs w:val="28"/>
          </w:rPr>
          <w:t>一、基金托管协议当事人</w:t>
        </w:r>
        <w:r>
          <w:rPr>
            <w:noProof/>
          </w:rPr>
          <w:tab/>
        </w:r>
        <w:bookmarkStart w:id="0" w:name="_GoBack"/>
        <w:bookmarkEnd w:id="0"/>
        <w:r>
          <w:rPr>
            <w:noProof/>
          </w:rPr>
          <w:fldChar w:fldCharType="begin"/>
        </w:r>
        <w:r>
          <w:rPr>
            <w:noProof/>
          </w:rPr>
          <w:instrText xml:space="preserve"> PAGEREF _Toc516758895 \h </w:instrText>
        </w:r>
        <w:r>
          <w:rPr>
            <w:noProof/>
          </w:rPr>
        </w:r>
        <w:r>
          <w:rPr>
            <w:noProof/>
          </w:rPr>
          <w:fldChar w:fldCharType="separate"/>
        </w:r>
        <w:r w:rsidR="00321BED">
          <w:rPr>
            <w:noProof/>
          </w:rPr>
          <w:t>3</w:t>
        </w:r>
        <w:r>
          <w:rPr>
            <w:noProof/>
          </w:rPr>
          <w:fldChar w:fldCharType="end"/>
        </w:r>
      </w:hyperlink>
    </w:p>
    <w:p w:rsidR="00346B7A" w:rsidRDefault="00ED7F37">
      <w:pPr>
        <w:pStyle w:val="21"/>
        <w:rPr>
          <w:rFonts w:cstheme="minorBidi"/>
          <w:noProof/>
        </w:rPr>
      </w:pPr>
      <w:hyperlink w:anchor="_Toc516758896" w:history="1">
        <w:r w:rsidR="00C434A0">
          <w:rPr>
            <w:rStyle w:val="af"/>
            <w:rFonts w:asciiTheme="minorEastAsia" w:eastAsiaTheme="minorEastAsia" w:hAnsiTheme="minorEastAsia" w:hint="eastAsia"/>
            <w:noProof/>
            <w:sz w:val="28"/>
            <w:szCs w:val="28"/>
          </w:rPr>
          <w:t>二、基金托管协议的依据、目的和原则</w:t>
        </w:r>
        <w:r w:rsidR="00C434A0">
          <w:rPr>
            <w:noProof/>
          </w:rPr>
          <w:tab/>
        </w:r>
        <w:r w:rsidR="00C434A0">
          <w:rPr>
            <w:noProof/>
          </w:rPr>
          <w:fldChar w:fldCharType="begin"/>
        </w:r>
        <w:r w:rsidR="00C434A0">
          <w:rPr>
            <w:noProof/>
          </w:rPr>
          <w:instrText xml:space="preserve"> PAGEREF _Toc516758896 \h </w:instrText>
        </w:r>
        <w:r w:rsidR="00C434A0">
          <w:rPr>
            <w:noProof/>
          </w:rPr>
        </w:r>
        <w:r w:rsidR="00C434A0">
          <w:rPr>
            <w:noProof/>
          </w:rPr>
          <w:fldChar w:fldCharType="separate"/>
        </w:r>
        <w:r w:rsidR="00321BED">
          <w:rPr>
            <w:noProof/>
          </w:rPr>
          <w:t>4</w:t>
        </w:r>
        <w:r w:rsidR="00C434A0">
          <w:rPr>
            <w:noProof/>
          </w:rPr>
          <w:fldChar w:fldCharType="end"/>
        </w:r>
      </w:hyperlink>
    </w:p>
    <w:p w:rsidR="00346B7A" w:rsidRDefault="00ED7F37">
      <w:pPr>
        <w:pStyle w:val="21"/>
        <w:rPr>
          <w:rFonts w:cstheme="minorBidi"/>
          <w:noProof/>
        </w:rPr>
      </w:pPr>
      <w:hyperlink w:anchor="_Toc516758897" w:history="1">
        <w:r w:rsidR="00C434A0">
          <w:rPr>
            <w:rStyle w:val="af"/>
            <w:rFonts w:asciiTheme="minorEastAsia" w:eastAsiaTheme="minorEastAsia" w:hAnsiTheme="minorEastAsia" w:hint="eastAsia"/>
            <w:noProof/>
            <w:sz w:val="28"/>
            <w:szCs w:val="28"/>
          </w:rPr>
          <w:t>三、基金托管人对基金管理人的业务监督和核查</w:t>
        </w:r>
        <w:r w:rsidR="00C434A0">
          <w:rPr>
            <w:noProof/>
          </w:rPr>
          <w:tab/>
        </w:r>
        <w:r w:rsidR="00C434A0">
          <w:rPr>
            <w:noProof/>
          </w:rPr>
          <w:fldChar w:fldCharType="begin"/>
        </w:r>
        <w:r w:rsidR="00C434A0">
          <w:rPr>
            <w:noProof/>
          </w:rPr>
          <w:instrText xml:space="preserve"> PAGEREF _Toc516758897 \h </w:instrText>
        </w:r>
        <w:r w:rsidR="00C434A0">
          <w:rPr>
            <w:noProof/>
          </w:rPr>
        </w:r>
        <w:r w:rsidR="00C434A0">
          <w:rPr>
            <w:noProof/>
          </w:rPr>
          <w:fldChar w:fldCharType="separate"/>
        </w:r>
        <w:r w:rsidR="00321BED">
          <w:rPr>
            <w:noProof/>
          </w:rPr>
          <w:t>4</w:t>
        </w:r>
        <w:r w:rsidR="00C434A0">
          <w:rPr>
            <w:noProof/>
          </w:rPr>
          <w:fldChar w:fldCharType="end"/>
        </w:r>
      </w:hyperlink>
    </w:p>
    <w:p w:rsidR="00346B7A" w:rsidRDefault="00ED7F37">
      <w:pPr>
        <w:pStyle w:val="21"/>
        <w:rPr>
          <w:rFonts w:cstheme="minorBidi"/>
          <w:noProof/>
        </w:rPr>
      </w:pPr>
      <w:hyperlink w:anchor="_Toc516758898" w:history="1">
        <w:r w:rsidR="00C434A0">
          <w:rPr>
            <w:rStyle w:val="af"/>
            <w:rFonts w:asciiTheme="minorEastAsia" w:eastAsiaTheme="minorEastAsia" w:hAnsiTheme="minorEastAsia" w:hint="eastAsia"/>
            <w:noProof/>
            <w:sz w:val="28"/>
            <w:szCs w:val="28"/>
          </w:rPr>
          <w:t>四、基金管理人对基金托管人的业务核查</w:t>
        </w:r>
        <w:r w:rsidR="00C434A0">
          <w:rPr>
            <w:noProof/>
          </w:rPr>
          <w:tab/>
        </w:r>
        <w:r w:rsidR="00C434A0">
          <w:rPr>
            <w:noProof/>
          </w:rPr>
          <w:fldChar w:fldCharType="begin"/>
        </w:r>
        <w:r w:rsidR="00C434A0">
          <w:rPr>
            <w:noProof/>
          </w:rPr>
          <w:instrText xml:space="preserve"> PAGEREF _Toc516758898 \h </w:instrText>
        </w:r>
        <w:r w:rsidR="00C434A0">
          <w:rPr>
            <w:noProof/>
          </w:rPr>
        </w:r>
        <w:r w:rsidR="00C434A0">
          <w:rPr>
            <w:noProof/>
          </w:rPr>
          <w:fldChar w:fldCharType="separate"/>
        </w:r>
        <w:r w:rsidR="00321BED">
          <w:rPr>
            <w:noProof/>
          </w:rPr>
          <w:t>8</w:t>
        </w:r>
        <w:r w:rsidR="00C434A0">
          <w:rPr>
            <w:noProof/>
          </w:rPr>
          <w:fldChar w:fldCharType="end"/>
        </w:r>
      </w:hyperlink>
    </w:p>
    <w:p w:rsidR="00346B7A" w:rsidRDefault="00ED7F37">
      <w:pPr>
        <w:pStyle w:val="21"/>
        <w:rPr>
          <w:rFonts w:cstheme="minorBidi"/>
          <w:noProof/>
        </w:rPr>
      </w:pPr>
      <w:hyperlink w:anchor="_Toc516758899" w:history="1">
        <w:r w:rsidR="00C434A0">
          <w:rPr>
            <w:rStyle w:val="af"/>
            <w:rFonts w:asciiTheme="minorEastAsia" w:eastAsiaTheme="minorEastAsia" w:hAnsiTheme="minorEastAsia" w:hint="eastAsia"/>
            <w:noProof/>
            <w:sz w:val="28"/>
            <w:szCs w:val="28"/>
          </w:rPr>
          <w:t>五、基金财产的保管</w:t>
        </w:r>
        <w:r w:rsidR="00C434A0">
          <w:rPr>
            <w:noProof/>
          </w:rPr>
          <w:tab/>
        </w:r>
        <w:r w:rsidR="00C434A0">
          <w:rPr>
            <w:noProof/>
          </w:rPr>
          <w:fldChar w:fldCharType="begin"/>
        </w:r>
        <w:r w:rsidR="00C434A0">
          <w:rPr>
            <w:noProof/>
          </w:rPr>
          <w:instrText xml:space="preserve"> PAGEREF _Toc516758899 \h </w:instrText>
        </w:r>
        <w:r w:rsidR="00C434A0">
          <w:rPr>
            <w:noProof/>
          </w:rPr>
        </w:r>
        <w:r w:rsidR="00C434A0">
          <w:rPr>
            <w:noProof/>
          </w:rPr>
          <w:fldChar w:fldCharType="separate"/>
        </w:r>
        <w:r w:rsidR="00321BED">
          <w:rPr>
            <w:noProof/>
          </w:rPr>
          <w:t>9</w:t>
        </w:r>
        <w:r w:rsidR="00C434A0">
          <w:rPr>
            <w:noProof/>
          </w:rPr>
          <w:fldChar w:fldCharType="end"/>
        </w:r>
      </w:hyperlink>
    </w:p>
    <w:p w:rsidR="00346B7A" w:rsidRDefault="00ED7F37">
      <w:pPr>
        <w:pStyle w:val="21"/>
        <w:rPr>
          <w:rFonts w:cstheme="minorBidi"/>
          <w:noProof/>
        </w:rPr>
      </w:pPr>
      <w:hyperlink w:anchor="_Toc516758900" w:history="1">
        <w:r w:rsidR="00C434A0">
          <w:rPr>
            <w:rStyle w:val="af"/>
            <w:rFonts w:asciiTheme="minorEastAsia" w:eastAsiaTheme="minorEastAsia" w:hAnsiTheme="minorEastAsia" w:hint="eastAsia"/>
            <w:noProof/>
            <w:sz w:val="28"/>
            <w:szCs w:val="28"/>
          </w:rPr>
          <w:t>六、指令的发送、确认及执行</w:t>
        </w:r>
        <w:r w:rsidR="00C434A0">
          <w:rPr>
            <w:noProof/>
          </w:rPr>
          <w:tab/>
        </w:r>
        <w:r w:rsidR="00C434A0">
          <w:rPr>
            <w:noProof/>
          </w:rPr>
          <w:fldChar w:fldCharType="begin"/>
        </w:r>
        <w:r w:rsidR="00C434A0">
          <w:rPr>
            <w:noProof/>
          </w:rPr>
          <w:instrText xml:space="preserve"> PAGEREF _Toc516758900 \h </w:instrText>
        </w:r>
        <w:r w:rsidR="00C434A0">
          <w:rPr>
            <w:noProof/>
          </w:rPr>
        </w:r>
        <w:r w:rsidR="00C434A0">
          <w:rPr>
            <w:noProof/>
          </w:rPr>
          <w:fldChar w:fldCharType="separate"/>
        </w:r>
        <w:r w:rsidR="00321BED">
          <w:rPr>
            <w:noProof/>
          </w:rPr>
          <w:t>12</w:t>
        </w:r>
        <w:r w:rsidR="00C434A0">
          <w:rPr>
            <w:noProof/>
          </w:rPr>
          <w:fldChar w:fldCharType="end"/>
        </w:r>
      </w:hyperlink>
    </w:p>
    <w:p w:rsidR="00346B7A" w:rsidRDefault="00ED7F37">
      <w:pPr>
        <w:pStyle w:val="21"/>
        <w:rPr>
          <w:rFonts w:cstheme="minorBidi"/>
          <w:noProof/>
        </w:rPr>
      </w:pPr>
      <w:hyperlink w:anchor="_Toc516758901" w:history="1">
        <w:r w:rsidR="00C434A0">
          <w:rPr>
            <w:rStyle w:val="af"/>
            <w:rFonts w:asciiTheme="minorEastAsia" w:eastAsiaTheme="minorEastAsia" w:hAnsiTheme="minorEastAsia" w:hint="eastAsia"/>
            <w:noProof/>
            <w:sz w:val="28"/>
            <w:szCs w:val="28"/>
          </w:rPr>
          <w:t>七、交易及清算交收安排</w:t>
        </w:r>
        <w:r w:rsidR="00C434A0">
          <w:rPr>
            <w:noProof/>
          </w:rPr>
          <w:tab/>
        </w:r>
        <w:r w:rsidR="00C434A0">
          <w:rPr>
            <w:noProof/>
          </w:rPr>
          <w:fldChar w:fldCharType="begin"/>
        </w:r>
        <w:r w:rsidR="00C434A0">
          <w:rPr>
            <w:noProof/>
          </w:rPr>
          <w:instrText xml:space="preserve"> PAGEREF _Toc516758901 \h </w:instrText>
        </w:r>
        <w:r w:rsidR="00C434A0">
          <w:rPr>
            <w:noProof/>
          </w:rPr>
        </w:r>
        <w:r w:rsidR="00C434A0">
          <w:rPr>
            <w:noProof/>
          </w:rPr>
          <w:fldChar w:fldCharType="separate"/>
        </w:r>
        <w:r w:rsidR="00321BED">
          <w:rPr>
            <w:noProof/>
          </w:rPr>
          <w:t>15</w:t>
        </w:r>
        <w:r w:rsidR="00C434A0">
          <w:rPr>
            <w:noProof/>
          </w:rPr>
          <w:fldChar w:fldCharType="end"/>
        </w:r>
      </w:hyperlink>
    </w:p>
    <w:p w:rsidR="00346B7A" w:rsidRDefault="00ED7F37">
      <w:pPr>
        <w:pStyle w:val="21"/>
        <w:rPr>
          <w:rFonts w:cstheme="minorBidi"/>
          <w:noProof/>
        </w:rPr>
      </w:pPr>
      <w:hyperlink w:anchor="_Toc516758902" w:history="1">
        <w:r w:rsidR="00C434A0">
          <w:rPr>
            <w:rStyle w:val="af"/>
            <w:rFonts w:asciiTheme="minorEastAsia" w:eastAsiaTheme="minorEastAsia" w:hAnsiTheme="minorEastAsia" w:hint="eastAsia"/>
            <w:noProof/>
            <w:sz w:val="28"/>
            <w:szCs w:val="28"/>
          </w:rPr>
          <w:t>八、基金资产净值计算和会计核算</w:t>
        </w:r>
        <w:r w:rsidR="00C434A0">
          <w:rPr>
            <w:noProof/>
          </w:rPr>
          <w:tab/>
        </w:r>
        <w:r w:rsidR="00C434A0">
          <w:rPr>
            <w:noProof/>
          </w:rPr>
          <w:fldChar w:fldCharType="begin"/>
        </w:r>
        <w:r w:rsidR="00C434A0">
          <w:rPr>
            <w:noProof/>
          </w:rPr>
          <w:instrText xml:space="preserve"> PAGEREF _Toc516758902 \h </w:instrText>
        </w:r>
        <w:r w:rsidR="00C434A0">
          <w:rPr>
            <w:noProof/>
          </w:rPr>
        </w:r>
        <w:r w:rsidR="00C434A0">
          <w:rPr>
            <w:noProof/>
          </w:rPr>
          <w:fldChar w:fldCharType="separate"/>
        </w:r>
        <w:r w:rsidR="00321BED">
          <w:rPr>
            <w:noProof/>
          </w:rPr>
          <w:t>19</w:t>
        </w:r>
        <w:r w:rsidR="00C434A0">
          <w:rPr>
            <w:noProof/>
          </w:rPr>
          <w:fldChar w:fldCharType="end"/>
        </w:r>
      </w:hyperlink>
    </w:p>
    <w:p w:rsidR="00346B7A" w:rsidRDefault="00ED7F37">
      <w:pPr>
        <w:pStyle w:val="21"/>
        <w:rPr>
          <w:rFonts w:cstheme="minorBidi"/>
          <w:noProof/>
        </w:rPr>
      </w:pPr>
      <w:hyperlink w:anchor="_Toc516758903" w:history="1">
        <w:r w:rsidR="00C434A0">
          <w:rPr>
            <w:rStyle w:val="af"/>
            <w:rFonts w:asciiTheme="minorEastAsia" w:eastAsiaTheme="minorEastAsia" w:hAnsiTheme="minorEastAsia" w:hint="eastAsia"/>
            <w:noProof/>
            <w:sz w:val="28"/>
            <w:szCs w:val="28"/>
          </w:rPr>
          <w:t>九、基金收益分配</w:t>
        </w:r>
        <w:r w:rsidR="00C434A0">
          <w:rPr>
            <w:noProof/>
          </w:rPr>
          <w:tab/>
        </w:r>
        <w:r w:rsidR="00C434A0">
          <w:rPr>
            <w:noProof/>
          </w:rPr>
          <w:fldChar w:fldCharType="begin"/>
        </w:r>
        <w:r w:rsidR="00C434A0">
          <w:rPr>
            <w:noProof/>
          </w:rPr>
          <w:instrText xml:space="preserve"> PAGEREF _Toc516758903 \h </w:instrText>
        </w:r>
        <w:r w:rsidR="00C434A0">
          <w:rPr>
            <w:noProof/>
          </w:rPr>
        </w:r>
        <w:r w:rsidR="00C434A0">
          <w:rPr>
            <w:noProof/>
          </w:rPr>
          <w:fldChar w:fldCharType="separate"/>
        </w:r>
        <w:r w:rsidR="00321BED">
          <w:rPr>
            <w:noProof/>
          </w:rPr>
          <w:t>24</w:t>
        </w:r>
        <w:r w:rsidR="00C434A0">
          <w:rPr>
            <w:noProof/>
          </w:rPr>
          <w:fldChar w:fldCharType="end"/>
        </w:r>
      </w:hyperlink>
    </w:p>
    <w:p w:rsidR="00346B7A" w:rsidRDefault="00ED7F37">
      <w:pPr>
        <w:pStyle w:val="21"/>
        <w:rPr>
          <w:rFonts w:cstheme="minorBidi"/>
          <w:noProof/>
        </w:rPr>
      </w:pPr>
      <w:hyperlink w:anchor="_Toc516758904" w:history="1">
        <w:r w:rsidR="00C434A0">
          <w:rPr>
            <w:rStyle w:val="af"/>
            <w:rFonts w:asciiTheme="minorEastAsia" w:eastAsiaTheme="minorEastAsia" w:hAnsiTheme="minorEastAsia" w:hint="eastAsia"/>
            <w:noProof/>
            <w:sz w:val="28"/>
            <w:szCs w:val="28"/>
          </w:rPr>
          <w:t>十、基金信息披露</w:t>
        </w:r>
        <w:r w:rsidR="00C434A0">
          <w:rPr>
            <w:noProof/>
          </w:rPr>
          <w:tab/>
        </w:r>
        <w:r w:rsidR="00C434A0">
          <w:rPr>
            <w:noProof/>
          </w:rPr>
          <w:fldChar w:fldCharType="begin"/>
        </w:r>
        <w:r w:rsidR="00C434A0">
          <w:rPr>
            <w:noProof/>
          </w:rPr>
          <w:instrText xml:space="preserve"> PAGEREF _Toc516758904 \h </w:instrText>
        </w:r>
        <w:r w:rsidR="00C434A0">
          <w:rPr>
            <w:noProof/>
          </w:rPr>
        </w:r>
        <w:r w:rsidR="00C434A0">
          <w:rPr>
            <w:noProof/>
          </w:rPr>
          <w:fldChar w:fldCharType="separate"/>
        </w:r>
        <w:r w:rsidR="00321BED">
          <w:rPr>
            <w:noProof/>
          </w:rPr>
          <w:t>25</w:t>
        </w:r>
        <w:r w:rsidR="00C434A0">
          <w:rPr>
            <w:noProof/>
          </w:rPr>
          <w:fldChar w:fldCharType="end"/>
        </w:r>
      </w:hyperlink>
    </w:p>
    <w:p w:rsidR="00346B7A" w:rsidRDefault="00ED7F37">
      <w:pPr>
        <w:pStyle w:val="21"/>
        <w:rPr>
          <w:rFonts w:cstheme="minorBidi"/>
          <w:noProof/>
        </w:rPr>
      </w:pPr>
      <w:hyperlink w:anchor="_Toc516758905" w:history="1">
        <w:r w:rsidR="00C434A0">
          <w:rPr>
            <w:rStyle w:val="af"/>
            <w:rFonts w:asciiTheme="minorEastAsia" w:eastAsiaTheme="minorEastAsia" w:hAnsiTheme="minorEastAsia" w:hint="eastAsia"/>
            <w:noProof/>
            <w:sz w:val="28"/>
            <w:szCs w:val="28"/>
          </w:rPr>
          <w:t>十一、基金费用</w:t>
        </w:r>
        <w:r w:rsidR="00C434A0">
          <w:rPr>
            <w:noProof/>
          </w:rPr>
          <w:tab/>
        </w:r>
        <w:r w:rsidR="00C434A0">
          <w:rPr>
            <w:noProof/>
          </w:rPr>
          <w:fldChar w:fldCharType="begin"/>
        </w:r>
        <w:r w:rsidR="00C434A0">
          <w:rPr>
            <w:noProof/>
          </w:rPr>
          <w:instrText xml:space="preserve"> PAGEREF _Toc516758905 \h </w:instrText>
        </w:r>
        <w:r w:rsidR="00C434A0">
          <w:rPr>
            <w:noProof/>
          </w:rPr>
        </w:r>
        <w:r w:rsidR="00C434A0">
          <w:rPr>
            <w:noProof/>
          </w:rPr>
          <w:fldChar w:fldCharType="separate"/>
        </w:r>
        <w:r w:rsidR="00321BED">
          <w:rPr>
            <w:noProof/>
          </w:rPr>
          <w:t>27</w:t>
        </w:r>
        <w:r w:rsidR="00C434A0">
          <w:rPr>
            <w:noProof/>
          </w:rPr>
          <w:fldChar w:fldCharType="end"/>
        </w:r>
      </w:hyperlink>
    </w:p>
    <w:p w:rsidR="00346B7A" w:rsidRDefault="00ED7F37">
      <w:pPr>
        <w:pStyle w:val="21"/>
        <w:rPr>
          <w:rFonts w:cstheme="minorBidi"/>
          <w:noProof/>
        </w:rPr>
      </w:pPr>
      <w:hyperlink w:anchor="_Toc516758906" w:history="1">
        <w:r w:rsidR="00C434A0">
          <w:rPr>
            <w:rStyle w:val="af"/>
            <w:rFonts w:asciiTheme="minorEastAsia" w:eastAsiaTheme="minorEastAsia" w:hAnsiTheme="minorEastAsia" w:hint="eastAsia"/>
            <w:noProof/>
            <w:sz w:val="28"/>
            <w:szCs w:val="28"/>
          </w:rPr>
          <w:t>十二、基金份额持有人名册的保管</w:t>
        </w:r>
        <w:r w:rsidR="00C434A0">
          <w:rPr>
            <w:noProof/>
          </w:rPr>
          <w:tab/>
        </w:r>
        <w:r w:rsidR="00C434A0">
          <w:rPr>
            <w:noProof/>
          </w:rPr>
          <w:fldChar w:fldCharType="begin"/>
        </w:r>
        <w:r w:rsidR="00C434A0">
          <w:rPr>
            <w:noProof/>
          </w:rPr>
          <w:instrText xml:space="preserve"> PAGEREF _Toc516758906 \h </w:instrText>
        </w:r>
        <w:r w:rsidR="00C434A0">
          <w:rPr>
            <w:noProof/>
          </w:rPr>
        </w:r>
        <w:r w:rsidR="00C434A0">
          <w:rPr>
            <w:noProof/>
          </w:rPr>
          <w:fldChar w:fldCharType="separate"/>
        </w:r>
        <w:r w:rsidR="00321BED">
          <w:rPr>
            <w:noProof/>
          </w:rPr>
          <w:t>29</w:t>
        </w:r>
        <w:r w:rsidR="00C434A0">
          <w:rPr>
            <w:noProof/>
          </w:rPr>
          <w:fldChar w:fldCharType="end"/>
        </w:r>
      </w:hyperlink>
    </w:p>
    <w:p w:rsidR="00346B7A" w:rsidRDefault="00ED7F37">
      <w:pPr>
        <w:pStyle w:val="21"/>
        <w:rPr>
          <w:rFonts w:cstheme="minorBidi"/>
          <w:noProof/>
        </w:rPr>
      </w:pPr>
      <w:hyperlink w:anchor="_Toc516758907" w:history="1">
        <w:r w:rsidR="00C434A0">
          <w:rPr>
            <w:rStyle w:val="af"/>
            <w:rFonts w:asciiTheme="minorEastAsia" w:eastAsiaTheme="minorEastAsia" w:hAnsiTheme="minorEastAsia" w:hint="eastAsia"/>
            <w:noProof/>
            <w:sz w:val="28"/>
            <w:szCs w:val="28"/>
          </w:rPr>
          <w:t>十三、基金有关文件档案的保存</w:t>
        </w:r>
        <w:r w:rsidR="00C434A0">
          <w:rPr>
            <w:noProof/>
          </w:rPr>
          <w:tab/>
        </w:r>
        <w:r w:rsidR="00C434A0">
          <w:rPr>
            <w:noProof/>
          </w:rPr>
          <w:fldChar w:fldCharType="begin"/>
        </w:r>
        <w:r w:rsidR="00C434A0">
          <w:rPr>
            <w:noProof/>
          </w:rPr>
          <w:instrText xml:space="preserve"> PAGEREF _Toc516758907 \h </w:instrText>
        </w:r>
        <w:r w:rsidR="00C434A0">
          <w:rPr>
            <w:noProof/>
          </w:rPr>
        </w:r>
        <w:r w:rsidR="00C434A0">
          <w:rPr>
            <w:noProof/>
          </w:rPr>
          <w:fldChar w:fldCharType="separate"/>
        </w:r>
        <w:r w:rsidR="00321BED">
          <w:rPr>
            <w:noProof/>
          </w:rPr>
          <w:t>29</w:t>
        </w:r>
        <w:r w:rsidR="00C434A0">
          <w:rPr>
            <w:noProof/>
          </w:rPr>
          <w:fldChar w:fldCharType="end"/>
        </w:r>
      </w:hyperlink>
    </w:p>
    <w:p w:rsidR="00346B7A" w:rsidRDefault="00ED7F37">
      <w:pPr>
        <w:pStyle w:val="21"/>
        <w:rPr>
          <w:rFonts w:cstheme="minorBidi"/>
          <w:noProof/>
        </w:rPr>
      </w:pPr>
      <w:hyperlink w:anchor="_Toc516758908" w:history="1">
        <w:r w:rsidR="00C434A0">
          <w:rPr>
            <w:rStyle w:val="af"/>
            <w:rFonts w:asciiTheme="minorEastAsia" w:eastAsiaTheme="minorEastAsia" w:hAnsiTheme="minorEastAsia" w:hint="eastAsia"/>
            <w:noProof/>
            <w:sz w:val="28"/>
            <w:szCs w:val="28"/>
          </w:rPr>
          <w:t>十四、基金管理人和基金托管人的更换</w:t>
        </w:r>
        <w:r w:rsidR="00C434A0">
          <w:rPr>
            <w:noProof/>
          </w:rPr>
          <w:tab/>
        </w:r>
        <w:r w:rsidR="00C434A0">
          <w:rPr>
            <w:noProof/>
          </w:rPr>
          <w:fldChar w:fldCharType="begin"/>
        </w:r>
        <w:r w:rsidR="00C434A0">
          <w:rPr>
            <w:noProof/>
          </w:rPr>
          <w:instrText xml:space="preserve"> PAGEREF _Toc516758908 \h </w:instrText>
        </w:r>
        <w:r w:rsidR="00C434A0">
          <w:rPr>
            <w:noProof/>
          </w:rPr>
        </w:r>
        <w:r w:rsidR="00C434A0">
          <w:rPr>
            <w:noProof/>
          </w:rPr>
          <w:fldChar w:fldCharType="separate"/>
        </w:r>
        <w:r w:rsidR="00321BED">
          <w:rPr>
            <w:noProof/>
          </w:rPr>
          <w:t>30</w:t>
        </w:r>
        <w:r w:rsidR="00C434A0">
          <w:rPr>
            <w:noProof/>
          </w:rPr>
          <w:fldChar w:fldCharType="end"/>
        </w:r>
      </w:hyperlink>
    </w:p>
    <w:p w:rsidR="00346B7A" w:rsidRDefault="00ED7F37">
      <w:pPr>
        <w:pStyle w:val="21"/>
        <w:rPr>
          <w:rFonts w:cstheme="minorBidi"/>
          <w:noProof/>
        </w:rPr>
      </w:pPr>
      <w:hyperlink w:anchor="_Toc516758909" w:history="1">
        <w:r w:rsidR="00C434A0">
          <w:rPr>
            <w:rStyle w:val="af"/>
            <w:rFonts w:asciiTheme="minorEastAsia" w:eastAsiaTheme="minorEastAsia" w:hAnsiTheme="minorEastAsia" w:hint="eastAsia"/>
            <w:noProof/>
            <w:sz w:val="28"/>
            <w:szCs w:val="28"/>
          </w:rPr>
          <w:t>十五、禁止行为</w:t>
        </w:r>
        <w:r w:rsidR="00C434A0">
          <w:rPr>
            <w:noProof/>
          </w:rPr>
          <w:tab/>
        </w:r>
        <w:r w:rsidR="00C434A0">
          <w:rPr>
            <w:noProof/>
          </w:rPr>
          <w:fldChar w:fldCharType="begin"/>
        </w:r>
        <w:r w:rsidR="00C434A0">
          <w:rPr>
            <w:noProof/>
          </w:rPr>
          <w:instrText xml:space="preserve"> PAGEREF _Toc516758909 \h </w:instrText>
        </w:r>
        <w:r w:rsidR="00C434A0">
          <w:rPr>
            <w:noProof/>
          </w:rPr>
        </w:r>
        <w:r w:rsidR="00C434A0">
          <w:rPr>
            <w:noProof/>
          </w:rPr>
          <w:fldChar w:fldCharType="separate"/>
        </w:r>
        <w:r w:rsidR="00321BED">
          <w:rPr>
            <w:noProof/>
          </w:rPr>
          <w:t>32</w:t>
        </w:r>
        <w:r w:rsidR="00C434A0">
          <w:rPr>
            <w:noProof/>
          </w:rPr>
          <w:fldChar w:fldCharType="end"/>
        </w:r>
      </w:hyperlink>
    </w:p>
    <w:p w:rsidR="00346B7A" w:rsidRDefault="00ED7F37">
      <w:pPr>
        <w:pStyle w:val="21"/>
        <w:rPr>
          <w:rFonts w:cstheme="minorBidi"/>
          <w:noProof/>
        </w:rPr>
      </w:pPr>
      <w:hyperlink w:anchor="_Toc516758910" w:history="1">
        <w:r w:rsidR="00C434A0">
          <w:rPr>
            <w:rStyle w:val="af"/>
            <w:rFonts w:asciiTheme="minorEastAsia" w:eastAsiaTheme="minorEastAsia" w:hAnsiTheme="minorEastAsia" w:hint="eastAsia"/>
            <w:noProof/>
            <w:sz w:val="28"/>
            <w:szCs w:val="28"/>
          </w:rPr>
          <w:t>十六、托管协议的变更、终止与基金财产的清算</w:t>
        </w:r>
        <w:r w:rsidR="00C434A0">
          <w:rPr>
            <w:noProof/>
          </w:rPr>
          <w:tab/>
        </w:r>
        <w:r w:rsidR="00C434A0">
          <w:rPr>
            <w:noProof/>
          </w:rPr>
          <w:fldChar w:fldCharType="begin"/>
        </w:r>
        <w:r w:rsidR="00C434A0">
          <w:rPr>
            <w:noProof/>
          </w:rPr>
          <w:instrText xml:space="preserve"> PAGEREF _Toc516758910 \h </w:instrText>
        </w:r>
        <w:r w:rsidR="00C434A0">
          <w:rPr>
            <w:noProof/>
          </w:rPr>
        </w:r>
        <w:r w:rsidR="00C434A0">
          <w:rPr>
            <w:noProof/>
          </w:rPr>
          <w:fldChar w:fldCharType="separate"/>
        </w:r>
        <w:r w:rsidR="00321BED">
          <w:rPr>
            <w:noProof/>
          </w:rPr>
          <w:t>33</w:t>
        </w:r>
        <w:r w:rsidR="00C434A0">
          <w:rPr>
            <w:noProof/>
          </w:rPr>
          <w:fldChar w:fldCharType="end"/>
        </w:r>
      </w:hyperlink>
    </w:p>
    <w:p w:rsidR="00346B7A" w:rsidRDefault="00ED7F37">
      <w:pPr>
        <w:pStyle w:val="21"/>
        <w:rPr>
          <w:rFonts w:cstheme="minorBidi"/>
          <w:noProof/>
        </w:rPr>
      </w:pPr>
      <w:hyperlink w:anchor="_Toc516758911" w:history="1">
        <w:r w:rsidR="00C434A0">
          <w:rPr>
            <w:rStyle w:val="af"/>
            <w:rFonts w:asciiTheme="minorEastAsia" w:eastAsiaTheme="minorEastAsia" w:hAnsiTheme="minorEastAsia" w:hint="eastAsia"/>
            <w:noProof/>
            <w:sz w:val="28"/>
            <w:szCs w:val="28"/>
          </w:rPr>
          <w:t>十七、违约责任</w:t>
        </w:r>
        <w:r w:rsidR="00C434A0">
          <w:rPr>
            <w:noProof/>
          </w:rPr>
          <w:tab/>
        </w:r>
        <w:r w:rsidR="00C434A0">
          <w:rPr>
            <w:noProof/>
          </w:rPr>
          <w:fldChar w:fldCharType="begin"/>
        </w:r>
        <w:r w:rsidR="00C434A0">
          <w:rPr>
            <w:noProof/>
          </w:rPr>
          <w:instrText xml:space="preserve"> PAGEREF _Toc516758911 \h </w:instrText>
        </w:r>
        <w:r w:rsidR="00C434A0">
          <w:rPr>
            <w:noProof/>
          </w:rPr>
        </w:r>
        <w:r w:rsidR="00C434A0">
          <w:rPr>
            <w:noProof/>
          </w:rPr>
          <w:fldChar w:fldCharType="separate"/>
        </w:r>
        <w:r w:rsidR="00321BED">
          <w:rPr>
            <w:noProof/>
          </w:rPr>
          <w:t>35</w:t>
        </w:r>
        <w:r w:rsidR="00C434A0">
          <w:rPr>
            <w:noProof/>
          </w:rPr>
          <w:fldChar w:fldCharType="end"/>
        </w:r>
      </w:hyperlink>
    </w:p>
    <w:p w:rsidR="00346B7A" w:rsidRDefault="00ED7F37">
      <w:pPr>
        <w:pStyle w:val="21"/>
        <w:rPr>
          <w:rFonts w:cstheme="minorBidi"/>
          <w:noProof/>
        </w:rPr>
      </w:pPr>
      <w:hyperlink w:anchor="_Toc516758912" w:history="1">
        <w:r w:rsidR="00C434A0">
          <w:rPr>
            <w:rStyle w:val="af"/>
            <w:rFonts w:asciiTheme="minorEastAsia" w:eastAsiaTheme="minorEastAsia" w:hAnsiTheme="minorEastAsia" w:hint="eastAsia"/>
            <w:noProof/>
            <w:sz w:val="28"/>
            <w:szCs w:val="28"/>
          </w:rPr>
          <w:t>十八、争议解决方式</w:t>
        </w:r>
        <w:r w:rsidR="00C434A0">
          <w:rPr>
            <w:noProof/>
          </w:rPr>
          <w:tab/>
        </w:r>
        <w:r w:rsidR="00C434A0">
          <w:rPr>
            <w:noProof/>
          </w:rPr>
          <w:fldChar w:fldCharType="begin"/>
        </w:r>
        <w:r w:rsidR="00C434A0">
          <w:rPr>
            <w:noProof/>
          </w:rPr>
          <w:instrText xml:space="preserve"> PAGEREF _Toc516758912 \h </w:instrText>
        </w:r>
        <w:r w:rsidR="00C434A0">
          <w:rPr>
            <w:noProof/>
          </w:rPr>
        </w:r>
        <w:r w:rsidR="00C434A0">
          <w:rPr>
            <w:noProof/>
          </w:rPr>
          <w:fldChar w:fldCharType="separate"/>
        </w:r>
        <w:r w:rsidR="00321BED">
          <w:rPr>
            <w:noProof/>
          </w:rPr>
          <w:t>36</w:t>
        </w:r>
        <w:r w:rsidR="00C434A0">
          <w:rPr>
            <w:noProof/>
          </w:rPr>
          <w:fldChar w:fldCharType="end"/>
        </w:r>
      </w:hyperlink>
    </w:p>
    <w:p w:rsidR="00346B7A" w:rsidRDefault="00ED7F37">
      <w:pPr>
        <w:pStyle w:val="21"/>
        <w:rPr>
          <w:rFonts w:cstheme="minorBidi"/>
          <w:noProof/>
        </w:rPr>
      </w:pPr>
      <w:hyperlink w:anchor="_Toc516758913" w:history="1">
        <w:r w:rsidR="00C434A0">
          <w:rPr>
            <w:rStyle w:val="af"/>
            <w:rFonts w:asciiTheme="minorEastAsia" w:eastAsiaTheme="minorEastAsia" w:hAnsiTheme="minorEastAsia" w:hint="eastAsia"/>
            <w:noProof/>
            <w:sz w:val="28"/>
            <w:szCs w:val="28"/>
          </w:rPr>
          <w:t>十九、托管协议的效力</w:t>
        </w:r>
        <w:r w:rsidR="00C434A0">
          <w:rPr>
            <w:noProof/>
          </w:rPr>
          <w:tab/>
        </w:r>
        <w:r w:rsidR="00C434A0">
          <w:rPr>
            <w:noProof/>
          </w:rPr>
          <w:fldChar w:fldCharType="begin"/>
        </w:r>
        <w:r w:rsidR="00C434A0">
          <w:rPr>
            <w:noProof/>
          </w:rPr>
          <w:instrText xml:space="preserve"> PAGEREF _Toc516758913 \h </w:instrText>
        </w:r>
        <w:r w:rsidR="00C434A0">
          <w:rPr>
            <w:noProof/>
          </w:rPr>
        </w:r>
        <w:r w:rsidR="00C434A0">
          <w:rPr>
            <w:noProof/>
          </w:rPr>
          <w:fldChar w:fldCharType="separate"/>
        </w:r>
        <w:r w:rsidR="00321BED">
          <w:rPr>
            <w:noProof/>
          </w:rPr>
          <w:t>36</w:t>
        </w:r>
        <w:r w:rsidR="00C434A0">
          <w:rPr>
            <w:noProof/>
          </w:rPr>
          <w:fldChar w:fldCharType="end"/>
        </w:r>
      </w:hyperlink>
    </w:p>
    <w:p w:rsidR="00346B7A" w:rsidRDefault="00ED7F37">
      <w:pPr>
        <w:pStyle w:val="21"/>
        <w:rPr>
          <w:rFonts w:cstheme="minorBidi"/>
          <w:noProof/>
        </w:rPr>
      </w:pPr>
      <w:hyperlink w:anchor="_Toc516758914" w:history="1">
        <w:r w:rsidR="00C434A0">
          <w:rPr>
            <w:rStyle w:val="af"/>
            <w:rFonts w:asciiTheme="minorEastAsia" w:eastAsiaTheme="minorEastAsia" w:hAnsiTheme="minorEastAsia" w:hint="eastAsia"/>
            <w:noProof/>
            <w:sz w:val="28"/>
            <w:szCs w:val="28"/>
          </w:rPr>
          <w:t>二十、其他事项</w:t>
        </w:r>
        <w:r w:rsidR="00C434A0">
          <w:rPr>
            <w:noProof/>
          </w:rPr>
          <w:tab/>
        </w:r>
        <w:r w:rsidR="00C434A0">
          <w:rPr>
            <w:noProof/>
          </w:rPr>
          <w:fldChar w:fldCharType="begin"/>
        </w:r>
        <w:r w:rsidR="00C434A0">
          <w:rPr>
            <w:noProof/>
          </w:rPr>
          <w:instrText xml:space="preserve"> PAGEREF _Toc516758914 \h </w:instrText>
        </w:r>
        <w:r w:rsidR="00C434A0">
          <w:rPr>
            <w:noProof/>
          </w:rPr>
        </w:r>
        <w:r w:rsidR="00C434A0">
          <w:rPr>
            <w:noProof/>
          </w:rPr>
          <w:fldChar w:fldCharType="separate"/>
        </w:r>
        <w:r w:rsidR="00321BED">
          <w:rPr>
            <w:noProof/>
          </w:rPr>
          <w:t>37</w:t>
        </w:r>
        <w:r w:rsidR="00C434A0">
          <w:rPr>
            <w:noProof/>
          </w:rPr>
          <w:fldChar w:fldCharType="end"/>
        </w:r>
      </w:hyperlink>
    </w:p>
    <w:p w:rsidR="00346B7A" w:rsidRDefault="00ED7F37">
      <w:pPr>
        <w:pStyle w:val="21"/>
        <w:rPr>
          <w:rFonts w:cstheme="minorBidi"/>
          <w:noProof/>
        </w:rPr>
      </w:pPr>
      <w:hyperlink w:anchor="_Toc516758915" w:history="1">
        <w:r w:rsidR="00C434A0">
          <w:rPr>
            <w:rStyle w:val="af"/>
            <w:rFonts w:asciiTheme="minorEastAsia" w:eastAsiaTheme="minorEastAsia" w:hAnsiTheme="minorEastAsia" w:hint="eastAsia"/>
            <w:noProof/>
            <w:sz w:val="28"/>
            <w:szCs w:val="28"/>
          </w:rPr>
          <w:t>二十一、托管协议的签订</w:t>
        </w:r>
        <w:r w:rsidR="00C434A0">
          <w:rPr>
            <w:noProof/>
          </w:rPr>
          <w:tab/>
        </w:r>
        <w:r w:rsidR="00C434A0">
          <w:rPr>
            <w:noProof/>
          </w:rPr>
          <w:fldChar w:fldCharType="begin"/>
        </w:r>
        <w:r w:rsidR="00C434A0">
          <w:rPr>
            <w:noProof/>
          </w:rPr>
          <w:instrText xml:space="preserve"> PAGEREF _Toc516758915 \h </w:instrText>
        </w:r>
        <w:r w:rsidR="00C434A0">
          <w:rPr>
            <w:noProof/>
          </w:rPr>
        </w:r>
        <w:r w:rsidR="00C434A0">
          <w:rPr>
            <w:noProof/>
          </w:rPr>
          <w:fldChar w:fldCharType="separate"/>
        </w:r>
        <w:r w:rsidR="00321BED">
          <w:rPr>
            <w:noProof/>
          </w:rPr>
          <w:t>37</w:t>
        </w:r>
        <w:r w:rsidR="00C434A0">
          <w:rPr>
            <w:noProof/>
          </w:rPr>
          <w:fldChar w:fldCharType="end"/>
        </w:r>
      </w:hyperlink>
    </w:p>
    <w:p w:rsidR="00346B7A" w:rsidRDefault="00C434A0" w:rsidP="00F840E7">
      <w:pPr>
        <w:widowControl/>
        <w:adjustRightInd w:val="0"/>
        <w:snapToGrid w:val="0"/>
        <w:spacing w:line="360" w:lineRule="auto"/>
        <w:ind w:firstLineChars="200" w:firstLine="560"/>
        <w:rPr>
          <w:rFonts w:asciiTheme="minorEastAsia" w:hAnsiTheme="minorEastAsia" w:cs="Arial"/>
          <w:kern w:val="0"/>
          <w:sz w:val="24"/>
        </w:rPr>
      </w:pPr>
      <w:r>
        <w:rPr>
          <w:rFonts w:asciiTheme="minorEastAsia" w:hAnsiTheme="minorEastAsia" w:hint="eastAsia"/>
          <w:sz w:val="28"/>
          <w:szCs w:val="28"/>
        </w:rPr>
        <w:lastRenderedPageBreak/>
        <w:fldChar w:fldCharType="end"/>
      </w:r>
      <w:r>
        <w:rPr>
          <w:rFonts w:asciiTheme="minorEastAsia" w:hAnsiTheme="minorEastAsia" w:cs="Arial" w:hint="eastAsia"/>
          <w:kern w:val="0"/>
          <w:sz w:val="24"/>
        </w:rPr>
        <w:t>鉴于银华基金管理股份有限公司系一家依照中国法律合法成立并有效存续的股份有限公司，按照相关法律法规的规定具备担任基金管理人的资格和能力，拟募集发行银华安鑫短债债券型证券投资基金；</w:t>
      </w:r>
    </w:p>
    <w:p w:rsidR="00346B7A" w:rsidRDefault="00C434A0" w:rsidP="00F840E7">
      <w:pPr>
        <w:widowControl/>
        <w:adjustRightInd w:val="0"/>
        <w:snapToGrid w:val="0"/>
        <w:spacing w:line="360" w:lineRule="auto"/>
        <w:ind w:firstLineChars="200" w:firstLine="480"/>
        <w:rPr>
          <w:rFonts w:asciiTheme="minorEastAsia" w:hAnsiTheme="minorEastAsia" w:cs="Arial"/>
          <w:kern w:val="0"/>
          <w:sz w:val="24"/>
        </w:rPr>
      </w:pPr>
      <w:r>
        <w:rPr>
          <w:rFonts w:ascii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rsidR="00346B7A" w:rsidRDefault="00C434A0" w:rsidP="00F840E7">
      <w:pPr>
        <w:widowControl/>
        <w:adjustRightInd w:val="0"/>
        <w:snapToGrid w:val="0"/>
        <w:spacing w:line="360" w:lineRule="auto"/>
        <w:ind w:firstLineChars="200" w:firstLine="480"/>
        <w:rPr>
          <w:rFonts w:asciiTheme="minorEastAsia" w:hAnsiTheme="minorEastAsia" w:cs="Arial"/>
          <w:kern w:val="0"/>
          <w:sz w:val="24"/>
        </w:rPr>
      </w:pPr>
      <w:r>
        <w:rPr>
          <w:rFonts w:asciiTheme="minorEastAsia" w:hAnsiTheme="minorEastAsia" w:cs="Arial" w:hint="eastAsia"/>
          <w:kern w:val="0"/>
          <w:sz w:val="24"/>
        </w:rPr>
        <w:t>鉴于银华基金管理股份有限公司拟担任证券投资基金的基金管理人，中国建设银行股份有限公司拟担任银华安鑫短债债券型证券投资基金的基金托管人；</w:t>
      </w:r>
    </w:p>
    <w:p w:rsidR="00346B7A" w:rsidRDefault="00C434A0" w:rsidP="00F840E7">
      <w:pPr>
        <w:widowControl/>
        <w:adjustRightInd w:val="0"/>
        <w:snapToGrid w:val="0"/>
        <w:spacing w:line="360" w:lineRule="auto"/>
        <w:ind w:firstLineChars="200" w:firstLine="480"/>
        <w:rPr>
          <w:rFonts w:asciiTheme="minorEastAsia" w:hAnsiTheme="minorEastAsia" w:cs="Arial"/>
          <w:kern w:val="0"/>
          <w:sz w:val="24"/>
        </w:rPr>
      </w:pPr>
      <w:r>
        <w:rPr>
          <w:rFonts w:asciiTheme="minorEastAsia" w:hAnsiTheme="minorEastAsia" w:cs="Arial" w:hint="eastAsia"/>
          <w:kern w:val="0"/>
          <w:sz w:val="24"/>
        </w:rPr>
        <w:t>为明确银华安鑫短债债券型证券投资基金的基金管理人和基金托管人之间的权利义务关系，特制订本托管协议；</w:t>
      </w:r>
    </w:p>
    <w:p w:rsidR="00346B7A" w:rsidRDefault="00C434A0" w:rsidP="00F840E7">
      <w:pPr>
        <w:widowControl/>
        <w:adjustRightInd w:val="0"/>
        <w:snapToGrid w:val="0"/>
        <w:spacing w:line="360" w:lineRule="auto"/>
        <w:ind w:firstLineChars="200" w:firstLine="480"/>
        <w:rPr>
          <w:rFonts w:asciiTheme="minorEastAsia" w:hAnsiTheme="minorEastAsia" w:cs="Arial"/>
          <w:kern w:val="0"/>
          <w:sz w:val="24"/>
          <w:lang w:val="en-GB"/>
        </w:rPr>
      </w:pPr>
      <w:r>
        <w:rPr>
          <w:rFonts w:asciiTheme="minorEastAsia" w:hAnsiTheme="minorEastAsia" w:cs="Arial" w:hint="eastAsia"/>
          <w:kern w:val="0"/>
          <w:sz w:val="24"/>
          <w:lang w:val="en-GB"/>
        </w:rPr>
        <w:t>除非另有约定，《</w:t>
      </w:r>
      <w:r>
        <w:rPr>
          <w:rFonts w:asciiTheme="minorEastAsia" w:hAnsiTheme="minorEastAsia" w:cs="Arial" w:hint="eastAsia"/>
          <w:kern w:val="0"/>
          <w:sz w:val="24"/>
        </w:rPr>
        <w:t>银华安鑫短债债券型证券投资基金</w:t>
      </w:r>
      <w:r>
        <w:rPr>
          <w:rFonts w:asciiTheme="minorEastAsia" w:hAnsiTheme="minorEastAsia" w:cs="Arial" w:hint="eastAsia"/>
          <w:kern w:val="0"/>
          <w:sz w:val="24"/>
          <w:lang w:val="en-GB"/>
        </w:rPr>
        <w:t>基金合同》（以下简称“基金合同”）中定义的术语在用于本托管协议时应具有相同的含义；若有抵触应以《基金合同》为准，并依其</w:t>
      </w:r>
      <w:r>
        <w:rPr>
          <w:rFonts w:asciiTheme="minorEastAsia" w:hAnsiTheme="minorEastAsia" w:cs="Arial" w:hint="eastAsia"/>
          <w:kern w:val="0"/>
          <w:sz w:val="24"/>
        </w:rPr>
        <w:t>条款</w:t>
      </w:r>
      <w:r>
        <w:rPr>
          <w:rFonts w:asciiTheme="minorEastAsia" w:hAnsiTheme="minorEastAsia" w:cs="Arial" w:hint="eastAsia"/>
          <w:kern w:val="0"/>
          <w:sz w:val="24"/>
          <w:lang w:val="en-GB"/>
        </w:rPr>
        <w:t>解释。</w:t>
      </w:r>
    </w:p>
    <w:p w:rsidR="00346B7A" w:rsidRDefault="00346B7A">
      <w:pPr>
        <w:rPr>
          <w:rFonts w:asciiTheme="minorEastAsia" w:hAnsiTheme="minorEastAsia"/>
          <w:sz w:val="24"/>
          <w:lang w:val="en-GB"/>
        </w:rPr>
      </w:pPr>
    </w:p>
    <w:p w:rsidR="00346B7A" w:rsidRDefault="00C434A0">
      <w:pPr>
        <w:pStyle w:val="2"/>
        <w:jc w:val="center"/>
        <w:rPr>
          <w:rFonts w:asciiTheme="minorEastAsia" w:eastAsiaTheme="minorEastAsia" w:hAnsiTheme="minorEastAsia"/>
        </w:rPr>
      </w:pPr>
      <w:bookmarkStart w:id="1" w:name="_Toc516758895"/>
      <w:r>
        <w:rPr>
          <w:rFonts w:asciiTheme="minorEastAsia" w:eastAsiaTheme="minorEastAsia" w:hAnsiTheme="minorEastAsia" w:hint="eastAsia"/>
        </w:rPr>
        <w:t>一、基金托管协议当事人</w:t>
      </w:r>
      <w:bookmarkEnd w:id="1"/>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（一）基金管理人</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名称：银华基金管理股份有限公司</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注册地址：深圳市福田区深南大道6008号特区报业大厦19层</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办公地址：北京市东城区东长安街1号东方广场东方经贸城C2办公楼15层</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邮政编码：</w:t>
      </w:r>
      <w:r>
        <w:rPr>
          <w:rFonts w:asciiTheme="minorEastAsia" w:hAnsiTheme="minorEastAsia" w:cs="Arial"/>
          <w:sz w:val="24"/>
        </w:rPr>
        <w:t>100738</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法定代表人：王珠林</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成立日期：2001年5月28日</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批准设立机关及批准设立文号：中国证监会证监基金字[</w:t>
      </w:r>
      <w:r>
        <w:rPr>
          <w:rFonts w:asciiTheme="minorEastAsia" w:hAnsiTheme="minorEastAsia" w:cs="Arial"/>
          <w:sz w:val="24"/>
        </w:rPr>
        <w:t>2001</w:t>
      </w:r>
      <w:r>
        <w:rPr>
          <w:rFonts w:asciiTheme="minorEastAsia" w:hAnsiTheme="minorEastAsia" w:cs="Arial" w:hint="eastAsia"/>
          <w:sz w:val="24"/>
        </w:rPr>
        <w:t>]</w:t>
      </w:r>
      <w:r>
        <w:rPr>
          <w:rFonts w:asciiTheme="minorEastAsia" w:hAnsiTheme="minorEastAsia" w:cs="Arial"/>
          <w:sz w:val="24"/>
        </w:rPr>
        <w:t>7</w:t>
      </w:r>
      <w:r>
        <w:rPr>
          <w:rFonts w:asciiTheme="minorEastAsia" w:hAnsiTheme="minorEastAsia" w:cs="Arial" w:hint="eastAsia"/>
          <w:sz w:val="24"/>
        </w:rPr>
        <w:t>号</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组织形式：股份有限公司</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注册资本：贰亿贰仟</w:t>
      </w:r>
      <w:r>
        <w:rPr>
          <w:rFonts w:asciiTheme="minorEastAsia" w:hAnsiTheme="minorEastAsia" w:cs="Arial"/>
          <w:sz w:val="24"/>
        </w:rPr>
        <w:t>贰佰贰拾万</w:t>
      </w:r>
      <w:r>
        <w:rPr>
          <w:rFonts w:asciiTheme="minorEastAsia" w:hAnsiTheme="minorEastAsia" w:cs="Arial" w:hint="eastAsia"/>
          <w:sz w:val="24"/>
        </w:rPr>
        <w:t>元人民币</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存续期间：持续经营</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经营范围：基金募集、基金销售、资产管理、中国证监会许可的其他业务</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（二）基金托管人</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名称：中国建设银行股份有限公司（简称：中国建设银行）</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住所：北京市西城区金融大街25号</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lastRenderedPageBreak/>
        <w:t>办公地址：北京市西城区闹市口大街1号院1号楼</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邮政编码：100033</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法定代表人：田国立</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成立日期：</w:t>
      </w:r>
      <w:bookmarkStart w:id="2" w:name="_Hlk525809535"/>
      <w:r>
        <w:rPr>
          <w:rFonts w:asciiTheme="minorEastAsia" w:hAnsiTheme="minorEastAsia" w:cs="Arial" w:hint="eastAsia"/>
          <w:sz w:val="24"/>
        </w:rPr>
        <w:t>2004年09月17日</w:t>
      </w:r>
    </w:p>
    <w:bookmarkEnd w:id="2"/>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基金托管业务批准文号：中国证监会证监基字[1998</w:t>
      </w:r>
      <w:bookmarkStart w:id="3" w:name="OLE_LINK3"/>
      <w:r>
        <w:rPr>
          <w:rFonts w:asciiTheme="minorEastAsia" w:hAnsiTheme="minorEastAsia" w:cs="Arial" w:hint="eastAsia"/>
          <w:sz w:val="24"/>
        </w:rPr>
        <w:t>]</w:t>
      </w:r>
      <w:bookmarkEnd w:id="3"/>
      <w:r>
        <w:rPr>
          <w:rFonts w:asciiTheme="minorEastAsia" w:hAnsiTheme="minorEastAsia" w:cs="Arial" w:hint="eastAsia"/>
          <w:sz w:val="24"/>
        </w:rPr>
        <w:t>12号</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组织形式：股份有限公司</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注册资本：贰仟伍佰亿壹仟零玖拾柒万柒仟肆佰捌拾陆元整</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存续期间：持续经营</w:t>
      </w:r>
    </w:p>
    <w:p w:rsidR="00346B7A" w:rsidRDefault="00C434A0" w:rsidP="00F840E7">
      <w:pPr>
        <w:adjustRightInd w:val="0"/>
        <w:snapToGrid w:val="0"/>
        <w:spacing w:line="360" w:lineRule="auto"/>
        <w:ind w:firstLineChars="200" w:firstLine="480"/>
        <w:rPr>
          <w:rFonts w:asciiTheme="minorEastAsia" w:hAnsiTheme="minorEastAsia"/>
          <w:sz w:val="24"/>
        </w:rPr>
      </w:pPr>
      <w:r>
        <w:rPr>
          <w:rFonts w:ascii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46B7A" w:rsidRDefault="00C434A0">
      <w:pPr>
        <w:pStyle w:val="2"/>
        <w:jc w:val="center"/>
        <w:rPr>
          <w:rFonts w:asciiTheme="minorEastAsia" w:eastAsiaTheme="minorEastAsia" w:hAnsiTheme="minorEastAsia"/>
          <w:sz w:val="30"/>
        </w:rPr>
      </w:pPr>
      <w:bookmarkStart w:id="4" w:name="_Toc516758896"/>
      <w:r>
        <w:rPr>
          <w:rFonts w:asciiTheme="minorEastAsia" w:eastAsiaTheme="minorEastAsia" w:hAnsiTheme="minorEastAsia" w:hint="eastAsia"/>
          <w:sz w:val="30"/>
        </w:rPr>
        <w:t>二、基金托管协议的依据、目的和原则</w:t>
      </w:r>
      <w:bookmarkEnd w:id="4"/>
    </w:p>
    <w:p w:rsidR="00346B7A" w:rsidRDefault="00C434A0" w:rsidP="00F840E7">
      <w:pPr>
        <w:adjustRightInd w:val="0"/>
        <w:snapToGrid w:val="0"/>
        <w:spacing w:line="360" w:lineRule="auto"/>
        <w:ind w:firstLineChars="200" w:firstLine="480"/>
        <w:rPr>
          <w:rFonts w:asciiTheme="minorEastAsia" w:hAnsiTheme="minorEastAsia"/>
          <w:sz w:val="24"/>
          <w:szCs w:val="30"/>
        </w:rPr>
      </w:pPr>
      <w:r>
        <w:rPr>
          <w:rFonts w:asciiTheme="minorEastAsia" w:hAnsiTheme="minorEastAsia" w:cs="Arial" w:hint="eastAsia"/>
          <w:sz w:val="24"/>
        </w:rPr>
        <w:t>（一）订立托管协议的依据</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本协议依据《中华人民共和国证券投资基金法》（以下简称“《基金法》”）等有关法律法规、《基金合同》及其他有关规定制订。</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（二）订立托管协议的目的</w:t>
      </w:r>
    </w:p>
    <w:p w:rsidR="00346B7A" w:rsidRDefault="00C434A0" w:rsidP="00F840E7">
      <w:pPr>
        <w:adjustRightInd w:val="0"/>
        <w:snapToGrid w:val="0"/>
        <w:spacing w:line="360" w:lineRule="auto"/>
        <w:ind w:firstLineChars="200" w:firstLine="480"/>
        <w:rPr>
          <w:rFonts w:asciiTheme="minorEastAsia" w:hAnsiTheme="minorEastAsia"/>
          <w:sz w:val="24"/>
          <w:szCs w:val="30"/>
        </w:rPr>
      </w:pPr>
      <w:r>
        <w:rPr>
          <w:rFonts w:ascii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（三）订立托管协议的原则</w:t>
      </w:r>
    </w:p>
    <w:p w:rsidR="00346B7A" w:rsidRDefault="00C434A0" w:rsidP="00F840E7">
      <w:pPr>
        <w:adjustRightInd w:val="0"/>
        <w:snapToGrid w:val="0"/>
        <w:spacing w:line="360" w:lineRule="auto"/>
        <w:ind w:firstLineChars="200" w:firstLine="480"/>
        <w:rPr>
          <w:rFonts w:asciiTheme="minorEastAsia" w:hAnsiTheme="minorEastAsia"/>
          <w:sz w:val="24"/>
        </w:rPr>
      </w:pPr>
      <w:r>
        <w:rPr>
          <w:rFonts w:asciiTheme="minorEastAsia" w:hAnsiTheme="minorEastAsia" w:cs="Arial" w:hint="eastAsia"/>
          <w:sz w:val="24"/>
        </w:rPr>
        <w:t>基金管理人和基金托管人本着平等自愿、诚实信用、充分保护基金份额持有人合法权益的原则，经协商一致，签订本协议。</w:t>
      </w:r>
    </w:p>
    <w:p w:rsidR="00346B7A" w:rsidRDefault="00C434A0">
      <w:pPr>
        <w:pStyle w:val="2"/>
        <w:jc w:val="center"/>
        <w:rPr>
          <w:rFonts w:asciiTheme="minorEastAsia" w:eastAsiaTheme="minorEastAsia" w:hAnsiTheme="minorEastAsia"/>
          <w:sz w:val="30"/>
          <w:szCs w:val="24"/>
        </w:rPr>
      </w:pPr>
      <w:bookmarkStart w:id="5" w:name="_Toc516758897"/>
      <w:r>
        <w:rPr>
          <w:rFonts w:asciiTheme="minorEastAsia" w:eastAsiaTheme="minorEastAsia" w:hAnsiTheme="minorEastAsia" w:hint="eastAsia"/>
          <w:sz w:val="30"/>
        </w:rPr>
        <w:t>三、基金托管人对基金管理人的业务监督和核查</w:t>
      </w:r>
      <w:bookmarkEnd w:id="5"/>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（一）基金托管人根据有关法律法规的规定及《基金合同》的约定，对基金投资范围、投资对象进行监督。《基金合同》明确约定基金投资风格或证券选择标</w:t>
      </w:r>
      <w:r w:rsidRPr="00F840E7">
        <w:rPr>
          <w:rFonts w:asciiTheme="minorEastAsia" w:hAnsiTheme="minorEastAsia" w:cs="Arial" w:hint="eastAsia"/>
          <w:sz w:val="24"/>
          <w:szCs w:val="24"/>
        </w:rPr>
        <w:lastRenderedPageBreak/>
        <w:t>准的，基金管理人应按照基金托管人要求的格式提供投资品种池，以便基金托管人运用相关技术系统，对基金实际投资是否符合《基金合同》关于证券选择标准的约定进行监督，对存在疑义的事项进行核查。</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本基金的投资对象是具有良好流动性的金融工具，包括国债、央行票据、金融债、企业债、公司债、次级债、地方政府债、中期票据、短期融资券、超短期融资券、可分离交易可转债的纯债部分、资产支持证券、债券回购、银行存款、同业存单、现金以及法律法规或中国证监会允许基金投资的其他金融工具，但须符合中国证监会相关规定。</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本基金不投资于股票、权证等资产，也不投资于可转换债券（可分离交易可转债的纯债部分除外）、可交换债券。</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如法律法规或监管机构以后允许基金投资其他品种，基金管理人在履行适当程序后，可以将其纳入投资范围。</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本基金投资组合比例为：债券投资占基金资产的比例不低于</w:t>
      </w:r>
      <w:r w:rsidRPr="00F840E7">
        <w:rPr>
          <w:rFonts w:asciiTheme="minorEastAsia" w:hAnsiTheme="minorEastAsia" w:cs="Arial"/>
          <w:sz w:val="24"/>
          <w:szCs w:val="24"/>
        </w:rPr>
        <w:t>80%，其中投资于短期债券的比例不低于非现金基金资产的80%。本基金所指短期债券指剩余期限不超过397天（含）的债券资产，包括国债、央行票据、金融债、企业债、公司债、次级债、地方政府债、中期票据、短期融资券、超短期融资券、可分离交易可转债的纯债部分。现金或者到期日在一年以内的政府债券不低于基金资产净值的5%，其中，现金不包括结算备付金、存出保证金、应收申购款等。</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如果法律法规或中国证监会变更投资品种的投资比例限制，基金管理人在履行适当程序后，可以调整上述投资品种的投资比例。</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（二）基金托管人根据有关法律法规的规定及《基金合同》的约定，对基金投资、融资比例进行监督。基金托管人按下述比例和调整期限进行监督：</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1、本基金投资于债券资产的比例不低于基金资产的80%，投资于短期债券</w:t>
      </w:r>
      <w:r w:rsidRPr="00F840E7">
        <w:rPr>
          <w:rFonts w:asciiTheme="minorEastAsia" w:hAnsiTheme="minorEastAsia" w:cs="Arial" w:hint="eastAsia"/>
          <w:sz w:val="24"/>
          <w:szCs w:val="24"/>
        </w:rPr>
        <w:t>的资产不低于非现金基金资产的</w:t>
      </w:r>
      <w:r w:rsidRPr="00F840E7">
        <w:rPr>
          <w:rFonts w:asciiTheme="minorEastAsia" w:hAnsiTheme="minorEastAsia" w:cs="Arial"/>
          <w:sz w:val="24"/>
          <w:szCs w:val="24"/>
        </w:rPr>
        <w:t>80%；</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2、本基金每个交易日日终保持不低于基金资产净值5％的现金或者到期日在一年以内的政府债券，其中，现金不包括结算备付金、存出保证金、应收申购款等；</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3、本基金持有一家公司发行的证券，其市值不超过基金资产净值的10％；</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4、本基金管理人管理的且在本基金托管人处托管的全部基金持有一家公司发行的证券，不超过该证券的10％；</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lastRenderedPageBreak/>
        <w:t>5、本基金投资于同一原始权益人的各类资产支持证券的比例，不得超过基金资产净值的10％；</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6、本基金持有的全部资产支持证券，其市值不得超过基金资产净值的20％；</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7、本基金持有的同一</w:t>
      </w:r>
      <w:r w:rsidRPr="00F840E7">
        <w:rPr>
          <w:rFonts w:asciiTheme="minorEastAsia" w:hAnsiTheme="minorEastAsia" w:cs="Arial" w:hint="eastAsia"/>
          <w:sz w:val="24"/>
          <w:szCs w:val="24"/>
        </w:rPr>
        <w:t>（</w:t>
      </w:r>
      <w:r w:rsidRPr="00F840E7">
        <w:rPr>
          <w:rFonts w:asciiTheme="minorEastAsia" w:hAnsiTheme="minorEastAsia" w:cs="Arial"/>
          <w:sz w:val="24"/>
          <w:szCs w:val="24"/>
        </w:rPr>
        <w:t>指同一信用级别</w:t>
      </w:r>
      <w:r w:rsidRPr="00F840E7">
        <w:rPr>
          <w:rFonts w:asciiTheme="minorEastAsia" w:hAnsiTheme="minorEastAsia" w:cs="Arial" w:hint="eastAsia"/>
          <w:sz w:val="24"/>
          <w:szCs w:val="24"/>
        </w:rPr>
        <w:t>）</w:t>
      </w:r>
      <w:r w:rsidRPr="00F840E7">
        <w:rPr>
          <w:rFonts w:asciiTheme="minorEastAsia" w:hAnsiTheme="minorEastAsia" w:cs="Arial"/>
          <w:sz w:val="24"/>
          <w:szCs w:val="24"/>
        </w:rPr>
        <w:t>资产支持证券的比例，不得超过该资产支持证券规模的10％；</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8、本基金管理人管理的</w:t>
      </w:r>
      <w:r w:rsidRPr="00F840E7">
        <w:rPr>
          <w:rFonts w:asciiTheme="minorEastAsia" w:hAnsiTheme="minorEastAsia" w:cs="Arial" w:hint="eastAsia"/>
          <w:sz w:val="24"/>
          <w:szCs w:val="24"/>
        </w:rPr>
        <w:t>且在本基金托管人处托管的全部基金投资于同一原始权益人的各类资产支持证券，不得超过其各类资产支持证券合计规模的</w:t>
      </w:r>
      <w:r w:rsidRPr="00F840E7">
        <w:rPr>
          <w:rFonts w:asciiTheme="minorEastAsia" w:hAnsiTheme="minorEastAsia" w:cs="Arial"/>
          <w:sz w:val="24"/>
          <w:szCs w:val="24"/>
        </w:rPr>
        <w:t>10％；</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9、本基金应投资于信用级别评级为BBB以上</w:t>
      </w:r>
      <w:r w:rsidRPr="00F840E7">
        <w:rPr>
          <w:rFonts w:asciiTheme="minorEastAsia" w:hAnsiTheme="minorEastAsia" w:cs="Arial" w:hint="eastAsia"/>
          <w:sz w:val="24"/>
          <w:szCs w:val="24"/>
        </w:rPr>
        <w:t>（含</w:t>
      </w:r>
      <w:r w:rsidRPr="00F840E7">
        <w:rPr>
          <w:rFonts w:asciiTheme="minorEastAsia" w:hAnsiTheme="minorEastAsia" w:cs="Arial"/>
          <w:sz w:val="24"/>
          <w:szCs w:val="24"/>
        </w:rPr>
        <w:t>BBB</w:t>
      </w:r>
      <w:r w:rsidRPr="00F840E7">
        <w:rPr>
          <w:rFonts w:asciiTheme="minorEastAsia" w:hAnsiTheme="minorEastAsia" w:cs="Arial" w:hint="eastAsia"/>
          <w:sz w:val="24"/>
          <w:szCs w:val="24"/>
        </w:rPr>
        <w:t>）的资产支持证券。基金持有资产支持证券期间，如果其信用等级下降、不再符合投资标准，应在评级报告发布之日起</w:t>
      </w:r>
      <w:r w:rsidRPr="00F840E7">
        <w:rPr>
          <w:rFonts w:asciiTheme="minorEastAsia" w:hAnsiTheme="minorEastAsia" w:cs="Arial"/>
          <w:sz w:val="24"/>
          <w:szCs w:val="24"/>
        </w:rPr>
        <w:t>3个月内予以全部卖出；</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10</w:t>
      </w:r>
      <w:r w:rsidRPr="00F840E7">
        <w:rPr>
          <w:rFonts w:asciiTheme="minorEastAsia" w:hAnsiTheme="minorEastAsia" w:cs="Arial" w:hint="eastAsia"/>
          <w:sz w:val="24"/>
          <w:szCs w:val="24"/>
        </w:rPr>
        <w:t>、本基金进入全国银行间同业市场进行债券回购的资金余额不得超过基金资产净值的</w:t>
      </w:r>
      <w:r w:rsidRPr="00F840E7">
        <w:rPr>
          <w:rFonts w:asciiTheme="minorEastAsia" w:hAnsiTheme="minorEastAsia" w:cs="Arial"/>
          <w:sz w:val="24"/>
          <w:szCs w:val="24"/>
        </w:rPr>
        <w:t>40%；本基金在全国银行间同业市场中的债券回购最长期限为1年，债券回购到期后不得展期；</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11</w:t>
      </w:r>
      <w:r w:rsidRPr="00F840E7">
        <w:rPr>
          <w:rFonts w:asciiTheme="minorEastAsia" w:hAnsiTheme="minorEastAsia" w:cs="Arial" w:hint="eastAsia"/>
          <w:sz w:val="24"/>
          <w:szCs w:val="24"/>
        </w:rPr>
        <w:t>、本基金的基金资产总值不得超过基金资产净值的</w:t>
      </w:r>
      <w:r w:rsidRPr="00F840E7">
        <w:rPr>
          <w:rFonts w:asciiTheme="minorEastAsia" w:hAnsiTheme="minorEastAsia" w:cs="Arial"/>
          <w:sz w:val="24"/>
          <w:szCs w:val="24"/>
        </w:rPr>
        <w:t>140%；</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12</w:t>
      </w:r>
      <w:r w:rsidRPr="00F840E7">
        <w:rPr>
          <w:rFonts w:asciiTheme="minorEastAsia" w:hAnsiTheme="minorEastAsia" w:cs="Arial" w:hint="eastAsia"/>
          <w:sz w:val="24"/>
          <w:szCs w:val="24"/>
        </w:rPr>
        <w:t>、本基金主动投资于流动性受限资产的市值合计不得超过基金资产净值的</w:t>
      </w:r>
      <w:r w:rsidRPr="00F840E7">
        <w:rPr>
          <w:rFonts w:asciiTheme="minorEastAsia" w:hAnsiTheme="minorEastAsia" w:cs="Arial"/>
          <w:sz w:val="24"/>
          <w:szCs w:val="24"/>
        </w:rPr>
        <w:t>15%；因证券市场波动、基金规模变动等基金管理人之外的因素致使基金不符合本款所规定比例限制的，基金管理人不得主动新增流动性受限资产的投资；</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13</w:t>
      </w:r>
      <w:r w:rsidRPr="00F840E7">
        <w:rPr>
          <w:rFonts w:asciiTheme="minorEastAsia" w:hAnsiTheme="minorEastAsia" w:cs="Arial" w:hint="eastAsia"/>
          <w:sz w:val="24"/>
          <w:szCs w:val="24"/>
        </w:rPr>
        <w:t>、本基金与私募类证券资管产品及中国证监会认定的其他主体为交易对手开展逆回购交易的，可接受质押品的资质要求应当与基金合同约定的投资范围保持一致；</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14</w:t>
      </w:r>
      <w:r w:rsidRPr="00F840E7">
        <w:rPr>
          <w:rFonts w:asciiTheme="minorEastAsia" w:hAnsiTheme="minorEastAsia" w:cs="Arial" w:hint="eastAsia"/>
          <w:sz w:val="24"/>
          <w:szCs w:val="24"/>
        </w:rPr>
        <w:t>、法律法规及中国证监会规定的和《基金合同》约定的其他投资限制。</w:t>
      </w:r>
    </w:p>
    <w:p w:rsidR="00346B7A" w:rsidRPr="00F840E7" w:rsidRDefault="00C434A0" w:rsidP="00F840E7">
      <w:pPr>
        <w:adjustRightInd w:val="0"/>
        <w:snapToGrid w:val="0"/>
        <w:spacing w:line="360" w:lineRule="auto"/>
        <w:ind w:firstLineChars="200" w:firstLine="480"/>
        <w:rPr>
          <w:rFonts w:asciiTheme="minorEastAsia" w:hAnsiTheme="minorEastAsia"/>
          <w:sz w:val="24"/>
          <w:szCs w:val="24"/>
        </w:rPr>
      </w:pPr>
      <w:r w:rsidRPr="00F840E7">
        <w:rPr>
          <w:rFonts w:asciiTheme="minorEastAsia" w:hAnsiTheme="minorEastAsia" w:cs="Arial" w:hint="eastAsia"/>
          <w:sz w:val="24"/>
          <w:szCs w:val="24"/>
        </w:rPr>
        <w:t>除上述第</w:t>
      </w:r>
      <w:r w:rsidRPr="00F840E7">
        <w:rPr>
          <w:rFonts w:asciiTheme="minorEastAsia" w:hAnsiTheme="minorEastAsia" w:cs="Arial"/>
          <w:sz w:val="24"/>
          <w:szCs w:val="24"/>
        </w:rPr>
        <w:t>2、9、12、13项外，因市场波动等基金管理人之外的因素致使基金投资比例不符合上述规定投资比例的，基金管理人应当在10个交易日内进行调整，但中国证监会规定的特殊情形除外。法律法规另有规定的，从其规定。</w:t>
      </w:r>
    </w:p>
    <w:p w:rsidR="00346B7A" w:rsidRPr="00F840E7" w:rsidRDefault="00C434A0" w:rsidP="00F840E7">
      <w:pPr>
        <w:adjustRightInd w:val="0"/>
        <w:snapToGrid w:val="0"/>
        <w:spacing w:line="360" w:lineRule="auto"/>
        <w:ind w:firstLineChars="200" w:firstLine="480"/>
        <w:rPr>
          <w:rFonts w:asciiTheme="minorEastAsia" w:hAnsiTheme="minorEastAsia"/>
          <w:sz w:val="24"/>
          <w:szCs w:val="24"/>
        </w:rPr>
      </w:pPr>
      <w:r w:rsidRPr="00F840E7">
        <w:rPr>
          <w:rFonts w:asciiTheme="minorEastAsia" w:hAnsiTheme="minorEastAsia" w:hint="eastAsia"/>
          <w:sz w:val="24"/>
          <w:szCs w:val="24"/>
        </w:rPr>
        <w:t>基金管理人应当自基金合同生效之日起</w:t>
      </w:r>
      <w:r w:rsidRPr="00F840E7">
        <w:rPr>
          <w:rFonts w:asciiTheme="minorEastAsia" w:hAnsiTheme="minorEastAsia"/>
          <w:sz w:val="24"/>
          <w:szCs w:val="24"/>
        </w:rPr>
        <w:t>6</w:t>
      </w:r>
      <w:r w:rsidRPr="00F840E7">
        <w:rPr>
          <w:rFonts w:asciiTheme="minorEastAsia" w:hAnsiTheme="minorEastAsia" w:hint="eastAsia"/>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346B7A" w:rsidRPr="00F840E7" w:rsidRDefault="00C434A0" w:rsidP="00F840E7">
      <w:pPr>
        <w:adjustRightInd w:val="0"/>
        <w:snapToGrid w:val="0"/>
        <w:spacing w:line="360" w:lineRule="auto"/>
        <w:ind w:firstLineChars="200" w:firstLine="480"/>
        <w:rPr>
          <w:rFonts w:asciiTheme="minorEastAsia" w:hAnsiTheme="minorEastAsia"/>
          <w:sz w:val="24"/>
          <w:szCs w:val="24"/>
        </w:rPr>
      </w:pPr>
      <w:r w:rsidRPr="00F840E7">
        <w:rPr>
          <w:rFonts w:asciiTheme="minorEastAsia" w:hAnsiTheme="minorEastAsia" w:hint="eastAsia"/>
          <w:sz w:val="24"/>
          <w:szCs w:val="24"/>
        </w:rPr>
        <w:t>法律法规或监管部门取消或变更上述限制，如适用于本基金，基金管理人在履行适当程序后，则本基金投资不再受相关限制或以变更后的规定为准。</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lastRenderedPageBreak/>
        <w:t>（三）基金托管人</w:t>
      </w:r>
      <w:bookmarkStart w:id="6" w:name="OLE_LINK1"/>
      <w:r w:rsidRPr="00F840E7">
        <w:rPr>
          <w:rFonts w:asciiTheme="minorEastAsia" w:hAnsiTheme="minorEastAsia" w:cs="Arial" w:hint="eastAsia"/>
          <w:sz w:val="24"/>
          <w:szCs w:val="24"/>
        </w:rPr>
        <w:t>根据有关法律法规的规定及《基金合同》的约定，</w:t>
      </w:r>
      <w:bookmarkEnd w:id="6"/>
      <w:r w:rsidRPr="00F840E7">
        <w:rPr>
          <w:rFonts w:asciiTheme="minorEastAsia" w:hAnsiTheme="minorEastAsia" w:cs="Arial" w:hint="eastAsia"/>
          <w:sz w:val="24"/>
          <w:szCs w:val="24"/>
        </w:rPr>
        <w:t>对本托管协议第十五条第九款基金投资禁止行为通过事后监督方式进行监督。</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F840E7">
        <w:rPr>
          <w:rFonts w:asciiTheme="minorEastAsia" w:hAnsiTheme="minorEastAsia" w:cs="Arial"/>
          <w:sz w:val="24"/>
          <w:szCs w:val="24"/>
        </w:rPr>
        <w:t>3个工作日内与基金托管人协商解决。</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color w:val="000000"/>
          <w:sz w:val="24"/>
          <w:szCs w:val="24"/>
        </w:rPr>
        <w:t>基金管理人负责对交易对手的资信控制，</w:t>
      </w:r>
      <w:r w:rsidRPr="00F840E7">
        <w:rPr>
          <w:rFonts w:asciiTheme="minorEastAsia" w:hAnsiTheme="minorEastAsia" w:cs="Arial" w:hint="eastAsia"/>
          <w:sz w:val="24"/>
          <w:szCs w:val="24"/>
        </w:rPr>
        <w:t>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负责向相关交易对手追偿。基金托管人则根据银行间债券市场成交单对合同履行情况进行监督。如基金托管人事后发现基金管理人没有按照事先约定的交易对手或交易方式进行交易时，基金托管人应及</w:t>
      </w:r>
      <w:r w:rsidRPr="00F840E7">
        <w:rPr>
          <w:rFonts w:asciiTheme="minorEastAsia" w:hAnsiTheme="minorEastAsia" w:cs="Arial" w:hint="eastAsia"/>
          <w:color w:val="000000"/>
          <w:sz w:val="24"/>
          <w:szCs w:val="24"/>
        </w:rPr>
        <w:t>时提醒基金管理人，基金托管人不承担由此造成的任何损失和责任。</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lastRenderedPageBreak/>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（八）若基金托管人发现基金管理人依据交易程序已经生效的指令违反法律、行政法规和其他有关规定，或者违反《基金合同》约定的，应当立即通知基金管理人，由此造成的损失由基金管理人承担。</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46B7A" w:rsidRDefault="00346B7A">
      <w:pPr>
        <w:rPr>
          <w:rFonts w:asciiTheme="minorEastAsia" w:hAnsiTheme="minorEastAsia"/>
          <w:sz w:val="24"/>
        </w:rPr>
      </w:pPr>
    </w:p>
    <w:p w:rsidR="00346B7A" w:rsidRDefault="00C434A0">
      <w:pPr>
        <w:pStyle w:val="2"/>
        <w:jc w:val="center"/>
        <w:rPr>
          <w:rFonts w:asciiTheme="minorEastAsia" w:eastAsiaTheme="minorEastAsia" w:hAnsiTheme="minorEastAsia"/>
          <w:sz w:val="30"/>
        </w:rPr>
      </w:pPr>
      <w:bookmarkStart w:id="7" w:name="_Toc86225291"/>
      <w:bookmarkStart w:id="8" w:name="_Toc120435783"/>
      <w:bookmarkStart w:id="9" w:name="_Toc110765660"/>
      <w:bookmarkStart w:id="10" w:name="_Toc86726439"/>
      <w:bookmarkStart w:id="11" w:name="_Toc86223242"/>
      <w:bookmarkStart w:id="12" w:name="_Toc108512358"/>
      <w:bookmarkStart w:id="13" w:name="_Toc516758898"/>
      <w:bookmarkStart w:id="14" w:name="_Toc86727355"/>
      <w:bookmarkStart w:id="15" w:name="_Toc118774803"/>
      <w:bookmarkStart w:id="16" w:name="_Toc86737929"/>
      <w:bookmarkStart w:id="17" w:name="_Toc86649722"/>
      <w:bookmarkStart w:id="18" w:name="_Toc89163368"/>
      <w:bookmarkStart w:id="19" w:name="_Toc110761796"/>
      <w:bookmarkStart w:id="20" w:name="_Toc119402710"/>
      <w:bookmarkStart w:id="21" w:name="_Toc118212950"/>
      <w:bookmarkStart w:id="22" w:name="_Toc118972648"/>
      <w:bookmarkStart w:id="23" w:name="_Toc110830492"/>
      <w:r>
        <w:rPr>
          <w:rFonts w:asciiTheme="minorEastAsia" w:eastAsiaTheme="minorEastAsia" w:hAnsiTheme="minorEastAsia"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（二）基金管理人发现基金托管人擅自挪用基金财产、未对基金财产实行分账管理、未执行或无故延迟执行基金管理人资金划拨指令、泄露基金投资信息等</w:t>
      </w:r>
      <w:r>
        <w:rPr>
          <w:rFonts w:asciiTheme="minorEastAsia" w:hAnsiTheme="minorEastAsia" w:cs="Arial" w:hint="eastAsia"/>
          <w:sz w:val="24"/>
        </w:rPr>
        <w:lastRenderedPageBreak/>
        <w:t>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46B7A" w:rsidRDefault="00C434A0" w:rsidP="00F840E7">
      <w:pPr>
        <w:adjustRightInd w:val="0"/>
        <w:snapToGrid w:val="0"/>
        <w:spacing w:line="360" w:lineRule="auto"/>
        <w:ind w:firstLineChars="200" w:firstLine="480"/>
        <w:rPr>
          <w:rFonts w:asciiTheme="minorEastAsia" w:hAnsiTheme="minorEastAsia"/>
          <w:sz w:val="24"/>
        </w:rPr>
      </w:pPr>
      <w:r>
        <w:rPr>
          <w:rFonts w:ascii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46B7A" w:rsidRDefault="00C434A0">
      <w:pPr>
        <w:pStyle w:val="2"/>
        <w:jc w:val="center"/>
        <w:rPr>
          <w:rFonts w:asciiTheme="minorEastAsia" w:eastAsiaTheme="minorEastAsia" w:hAnsiTheme="minorEastAsia"/>
          <w:sz w:val="30"/>
        </w:rPr>
      </w:pPr>
      <w:bookmarkStart w:id="24" w:name="_Toc110761797"/>
      <w:bookmarkStart w:id="25" w:name="_Toc108512359"/>
      <w:bookmarkStart w:id="26" w:name="_Toc118774804"/>
      <w:bookmarkStart w:id="27" w:name="_Toc118212951"/>
      <w:bookmarkStart w:id="28" w:name="_Toc118972649"/>
      <w:bookmarkStart w:id="29" w:name="_Toc110830493"/>
      <w:bookmarkStart w:id="30" w:name="_Toc110765661"/>
      <w:bookmarkStart w:id="31" w:name="_Toc86737930"/>
      <w:bookmarkStart w:id="32" w:name="_Toc84133786"/>
      <w:bookmarkStart w:id="33" w:name="_Toc86727356"/>
      <w:bookmarkStart w:id="34" w:name="_Toc86225292"/>
      <w:bookmarkStart w:id="35" w:name="_Toc86223243"/>
      <w:bookmarkStart w:id="36" w:name="_Toc86726440"/>
      <w:bookmarkStart w:id="37" w:name="_Toc86204789"/>
      <w:bookmarkStart w:id="38" w:name="_Toc86649723"/>
      <w:bookmarkStart w:id="39" w:name="_Toc89163369"/>
      <w:bookmarkStart w:id="40" w:name="_Toc84234388"/>
      <w:bookmarkStart w:id="41" w:name="_Toc84234435"/>
      <w:bookmarkStart w:id="42" w:name="_Toc516758899"/>
      <w:bookmarkStart w:id="43" w:name="_Toc119402711"/>
      <w:bookmarkStart w:id="44" w:name="_Toc120435784"/>
      <w:r>
        <w:rPr>
          <w:rFonts w:asciiTheme="minorEastAsia" w:eastAsiaTheme="minorEastAsia" w:hAnsiTheme="minorEastAsia"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（一）基金财产保管的原则</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1.基金财产应独立于基金管理人、基金托管人的固有财产。</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2.基金托管人应安全保管基金财产。</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3.基金托管人按照规定开设基金财产的资金账户和证券账户等投资所需账户</w:t>
      </w:r>
      <w:r w:rsidRPr="00F840E7">
        <w:rPr>
          <w:rFonts w:asciiTheme="minorEastAsia" w:hAnsiTheme="minorEastAsia" w:cs="Arial" w:hint="eastAsia"/>
          <w:sz w:val="24"/>
          <w:szCs w:val="24"/>
        </w:rPr>
        <w:t>。</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4.基金托管人对所托管的不同基金财产分别设置账户，确保基金财产的完整与独立。</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5.基金托管人按照《基金合同》和本协议的约定保管基金财产，如有特殊情况双方可另行协商解决。基金</w:t>
      </w:r>
      <w:r w:rsidRPr="00F840E7">
        <w:rPr>
          <w:rFonts w:asciiTheme="minorEastAsia" w:hAnsiTheme="minorEastAsia" w:hint="eastAsia"/>
          <w:sz w:val="24"/>
          <w:szCs w:val="24"/>
        </w:rPr>
        <w:t>托管人未经基金管理人的指令，不得自行运用、处分、分配本基金的任何资产（不包含基金托管人依据中国证券登记结算有限责任公司结算数据完成场内交易交收、开户银行或交易</w:t>
      </w:r>
      <w:r w:rsidRPr="00F840E7">
        <w:rPr>
          <w:rFonts w:asciiTheme="minorEastAsia" w:hAnsiTheme="minorEastAsia"/>
          <w:sz w:val="24"/>
          <w:szCs w:val="24"/>
        </w:rPr>
        <w:t>/登记结算机构扣收交易费、结算费和账户维护费等费用）。</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w:t>
      </w:r>
      <w:r w:rsidRPr="00F840E7">
        <w:rPr>
          <w:rFonts w:asciiTheme="minorEastAsia" w:hAnsiTheme="minorEastAsia" w:cs="Arial"/>
          <w:sz w:val="24"/>
          <w:szCs w:val="24"/>
        </w:rPr>
        <w:lastRenderedPageBreak/>
        <w:t>任。</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7.除依据法律法规和《基金合同》的规定外，基金托管人不得委托第三人托管基金财产。</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（二）基金募集期间及募集资金的验资</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1.基金募集期间募集的资金应存于基金管理人在基金托管人的营业机构开立的“基金募集专户”。该账户由基金管理人开立并管理。</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验资机构应在验资报告中对发起资金提供方及其持有份额进行专门说明。出具的验资报告由参加验资的2名或2名以上中国注册会计师签字方为有效。</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3.若基金募集期限届满，未能达到《基金合同》生效的条件，由基金管理人按规定办理退款等事宜。</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（三）基金银行账户的开立和管理</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1.基金托管人应以基金的名义在其营业机构开立基金的银行账户，并根据基金管理人合法合规的指令办理资金收付。本基金的银行预留印鉴由基金托管人保管和使用。</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3.基金银行账户的开立和管理应符合银行业监督管理机构的有关规定。</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4.在符合法律法规规定的条件下，基金托管人可以通过基金托管人专用账户办理基金资产的支付。</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（四）基金证券账户和结算备付金账户的开立和管理</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1.基金托管人在中国证券登记结算有限责任公司为基金开立基金托管人与基金联名的证券账户。</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lastRenderedPageBreak/>
        <w:t>3.基金证券账户的开立和证券账户卡的保管由基金托管人负责，账户资产的管理和运用由基金管理人负责。</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证券账户开户费由基金管理人先行垫付，待托管产品启始运营后，基金管理人可向基金托管人发送划款指令，将代垫开户费从本基金托管资金账户中扣还基金管理人。</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（五）债券托管专户的开设和管理</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（六）其他账户的开立和管理</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2.法律法规等有关规定对相关账户的开立和管理另有规定的，从其规定办理。</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（七）基金财产投资的有关有价凭证等的保管</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lastRenderedPageBreak/>
        <w:t>基金财产投资的有关实物证券、银行</w:t>
      </w:r>
      <w:r w:rsidRPr="00F840E7">
        <w:rPr>
          <w:rFonts w:asciiTheme="minorEastAsia" w:hAnsiTheme="minorEastAsia" w:hint="eastAsia"/>
          <w:sz w:val="24"/>
          <w:szCs w:val="24"/>
        </w:rPr>
        <w:t>存款开户证实书</w:t>
      </w:r>
      <w:r w:rsidRPr="00F840E7">
        <w:rPr>
          <w:rFonts w:asciiTheme="minorEastAsia" w:hAnsiTheme="minorEastAsia" w:cs="Arial" w:hint="eastAsia"/>
          <w:sz w:val="24"/>
          <w:szCs w:val="24"/>
        </w:rPr>
        <w:t>等有价凭证由基金托管人存放于基金托管人的保管库，也可存入中央国债登记结算有限责任公司、中国证券登记结算有限责任公司上海分公司</w:t>
      </w:r>
      <w:r w:rsidRPr="00F840E7">
        <w:rPr>
          <w:rFonts w:asciiTheme="minorEastAsia" w:hAnsiTheme="minorEastAsia" w:cs="Arial"/>
          <w:sz w:val="24"/>
          <w:szCs w:val="24"/>
        </w:rPr>
        <w:t>/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（八）与基金财产有关的重大合同的保管</w:t>
      </w:r>
    </w:p>
    <w:p w:rsidR="00346B7A" w:rsidRDefault="00C434A0" w:rsidP="00F840E7">
      <w:pPr>
        <w:adjustRightInd w:val="0"/>
        <w:snapToGrid w:val="0"/>
        <w:spacing w:line="360" w:lineRule="auto"/>
        <w:ind w:firstLineChars="200" w:firstLine="480"/>
        <w:rPr>
          <w:rFonts w:asciiTheme="minorEastAsia" w:hAnsiTheme="minorEastAsia"/>
          <w:sz w:val="24"/>
        </w:rPr>
      </w:pPr>
      <w:r w:rsidRPr="00F840E7">
        <w:rPr>
          <w:rFonts w:asciiTheme="minorEastAsia" w:hAnsiTheme="minorEastAsia"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F840E7">
        <w:rPr>
          <w:rFonts w:asciiTheme="minorEastAsia" w:hAnsiTheme="minorEastAsia" w:cs="Arial"/>
          <w:sz w:val="24"/>
          <w:szCs w:val="24"/>
        </w:rPr>
        <w:t>15年。</w:t>
      </w:r>
    </w:p>
    <w:p w:rsidR="00346B7A" w:rsidRDefault="00C434A0">
      <w:pPr>
        <w:pStyle w:val="2"/>
        <w:jc w:val="center"/>
        <w:rPr>
          <w:rFonts w:asciiTheme="minorEastAsia" w:eastAsiaTheme="minorEastAsia" w:hAnsiTheme="minorEastAsia"/>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516758900"/>
      <w:r>
        <w:rPr>
          <w:rFonts w:asciiTheme="minorEastAsia" w:eastAsiaTheme="minorEastAsia" w:hAnsiTheme="minorEastAsia"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（一）基金管理人对发送指令人员的书面授权</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1.基金管理人应指定专人向基金托管人发送指令。</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2.基金管理人应向基金托管人提供书面授权文件，内容包括被授权人名单、预留印鉴及被授权人签字样本，授权文件应注明被授权人相应的权限。</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lastRenderedPageBreak/>
        <w:t>（二）指令的内容</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1.指令包括付款指令以及其他资金划拨指令等。</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2.基金管理人发给基金托管人的指令应写明款项事由、支付时间、到账时间、金额、账户等，加盖预留印鉴并由被授权人签字。</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（三）指令的发送、确认及执行的时间和程序</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1.指令的发送</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基金管理人发送指令应采用加密传真方式或双方协商一致的其他方式。</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指令发出后，基金管理人应及时以电话方式向基金托管人确认。</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2.指令的确认</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3.指令的时间和执行</w:t>
      </w:r>
    </w:p>
    <w:p w:rsidR="00346B7A" w:rsidRDefault="00C434A0" w:rsidP="00F840E7">
      <w:pPr>
        <w:pStyle w:val="a7"/>
        <w:spacing w:line="360" w:lineRule="auto"/>
        <w:rPr>
          <w:rFonts w:asciiTheme="minorEastAsia" w:eastAsiaTheme="minorEastAsia" w:hAnsiTheme="minorEastAsia" w:cs="Arial"/>
          <w:szCs w:val="24"/>
          <w:shd w:val="pct10" w:color="auto" w:fill="FFFFFF"/>
        </w:rPr>
      </w:pPr>
      <w:r>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w:t>
      </w:r>
      <w:r>
        <w:rPr>
          <w:rFonts w:asciiTheme="minorEastAsia" w:eastAsiaTheme="minorEastAsia" w:hAnsiTheme="minorEastAsia" w:cs="Arial" w:hint="eastAsia"/>
        </w:rPr>
        <w:lastRenderedPageBreak/>
        <w:t>下申购缴款日（T日）的前一工作日下班前将指令发送给基金托管人，指令发送时间最迟不应晚于T日上午10:00。</w:t>
      </w:r>
      <w:r>
        <w:rPr>
          <w:rFonts w:asciiTheme="minorEastAsia" w:eastAsiaTheme="minorEastAsia" w:hAnsiTheme="minorEastAsia" w:cs="Arial" w:hint="eastAsia"/>
          <w:szCs w:val="24"/>
        </w:rPr>
        <w:t>对于中国证券登记结算有限责任公司实行T+0非担保交收的业务，基金管理人应在交易日14：00</w:t>
      </w:r>
      <w:r>
        <w:rPr>
          <w:rFonts w:asciiTheme="minorEastAsia" w:eastAsiaTheme="minorEastAsia" w:hAnsiTheme="minorEastAsia" w:cs="Arial" w:hint="eastAsia"/>
        </w:rPr>
        <w:t>前</w:t>
      </w:r>
      <w:r>
        <w:rPr>
          <w:rFonts w:asciiTheme="minorEastAsia" w:eastAsiaTheme="minorEastAsia" w:hAnsiTheme="minorEastAsia" w:cs="Arial" w:hint="eastAsia"/>
          <w:szCs w:val="24"/>
        </w:rPr>
        <w:t>将划款指令发送至基金托管人。因基金管理人指令传输不及时，致使资金未能及时划入中国证券登记结算有限责任公司所造成的损失由基金管理人承担，包括赔偿在该市场引起其他托管客户交易失败、赔偿因占用</w:t>
      </w:r>
      <w:r>
        <w:rPr>
          <w:rFonts w:asciiTheme="minorEastAsia" w:eastAsiaTheme="minorEastAsia" w:hAnsiTheme="minorEastAsia" w:cs="Arial" w:hint="eastAsia"/>
        </w:rPr>
        <w:t>结算参与人</w:t>
      </w:r>
      <w:r>
        <w:rPr>
          <w:rFonts w:asciiTheme="minorEastAsia" w:eastAsiaTheme="minorEastAsia" w:hAnsiTheme="minorEastAsia" w:cs="Arial" w:hint="eastAsia"/>
          <w:szCs w:val="24"/>
        </w:rPr>
        <w:t>最低备付金带来的利息损失</w:t>
      </w:r>
      <w:r>
        <w:rPr>
          <w:rFonts w:asciiTheme="minorEastAsia" w:eastAsiaTheme="minorEastAsia" w:hAnsiTheme="minorEastAsia" w:cs="Arial" w:hint="eastAsia"/>
        </w:rPr>
        <w:t>。</w:t>
      </w:r>
      <w:r>
        <w:rPr>
          <w:rFonts w:asciiTheme="minorEastAsia" w:eastAsiaTheme="minorEastAsia" w:hAnsiTheme="minorEastAsia" w:cs="Arial" w:hint="eastAsia"/>
          <w:szCs w:val="24"/>
        </w:rPr>
        <w:t>基金管理人应确保基金托管人在执行指令时，基金资金账户有足够的资金余额，</w:t>
      </w:r>
      <w:r>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rsidR="00346B7A" w:rsidRDefault="00C434A0" w:rsidP="00F840E7">
      <w:pPr>
        <w:pStyle w:val="a7"/>
        <w:spacing w:line="360" w:lineRule="auto"/>
        <w:rPr>
          <w:rFonts w:asciiTheme="minorEastAsia" w:eastAsiaTheme="minorEastAsia" w:hAnsiTheme="minorEastAsia" w:cs="Arial"/>
        </w:rPr>
      </w:pPr>
      <w:r>
        <w:rPr>
          <w:rFonts w:asciiTheme="minorEastAsia" w:eastAsiaTheme="minorEastAsia" w:hAnsiTheme="minorEastAsia" w:cs="Arial" w:hint="eastAsia"/>
        </w:rPr>
        <w:t>（四）基金管理人发送错误指令的情形和处理程序</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基金管理人发送错误指令的情形包括指令违反法律法规和《基金合同》，指令发送人员无权或超越权限发送指令。</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（五）基金托管人依照法律法规暂缓、拒绝执行指令的情形和处理程序</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若基金托管人发现基金管理人的指令违反法律法规，或者违反《基金合同》约定的，应当拒绝执行，立即通知基金管理人。</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（六）基金托管人未按照基金管理人指令执行的处理方法</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基金托管人由于过错，未按照基金管理人发送的指令执行并对基金财产或投资人造成的直接损失，由基金托管人</w:t>
      </w:r>
      <w:r>
        <w:rPr>
          <w:rFonts w:asciiTheme="minorEastAsia" w:hAnsiTheme="minorEastAsia" w:hint="eastAsia"/>
          <w:sz w:val="24"/>
        </w:rPr>
        <w:t>赔偿由此造成的直接损失。</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（七）更换被授权人员的程序</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Pr>
          <w:rFonts w:asciiTheme="minorEastAsia" w:hAnsiTheme="minorEastAsia" w:hint="eastAsia"/>
          <w:sz w:val="24"/>
        </w:rPr>
        <w:t>。</w:t>
      </w:r>
      <w:r>
        <w:rPr>
          <w:rFonts w:asciiTheme="minorEastAsia" w:hAnsiTheme="minorEastAsia" w:cs="Arial" w:hint="eastAsia"/>
          <w:sz w:val="24"/>
        </w:rPr>
        <w:t>基金托管人更换接受基金管理人指令的人员，应提前通过录音电话通知基金管理人。</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（八）其他事项</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基金托管人在接收指令时，应对指令的要素是否齐全、印鉴与被授权人是否</w:t>
      </w:r>
      <w:r>
        <w:rPr>
          <w:rFonts w:asciiTheme="minorEastAsia" w:hAnsiTheme="minorEastAsia" w:cs="Arial" w:hint="eastAsia"/>
          <w:sz w:val="24"/>
        </w:rPr>
        <w:lastRenderedPageBreak/>
        <w:t>与预留的授权文件内容相符进行检查，如发现问题，应及时报告基金管理人，基金托管人对执行基金管理人的合法指令对基金财产造成的损失不承担赔偿责任。</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346B7A" w:rsidRDefault="00C434A0">
      <w:pPr>
        <w:pStyle w:val="2"/>
        <w:jc w:val="center"/>
        <w:rPr>
          <w:rFonts w:asciiTheme="minorEastAsia" w:eastAsiaTheme="minorEastAsia" w:hAnsiTheme="minorEastAsia"/>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516758901"/>
      <w:r>
        <w:rPr>
          <w:rFonts w:asciiTheme="minorEastAsia" w:eastAsiaTheme="minorEastAsia" w:hAnsiTheme="minorEastAsia"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（一）选择证券买卖的经营机构</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基金管理人应设计选择证券、期货买卖的证券、期货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（二）基金投资证券后的清算交收安排</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1.清算与交割</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基金管理人与基金托管人应根据有关法律法规及相关业务规则，签订《托管</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银行证券资金结算协议》，用以具体明确基金管理人与基金托管人在证券交易资金结算业务中的责任。</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根据中国证券登记结算有限责任公司规定，在每月前</w:t>
      </w:r>
      <w:r w:rsidRPr="00F840E7">
        <w:rPr>
          <w:rFonts w:asciiTheme="minorEastAsia" w:hAnsiTheme="minorEastAsia" w:cstheme="minorEastAsia"/>
          <w:sz w:val="24"/>
        </w:rPr>
        <w:t>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基金托管人负责基金买卖证券的清算交收。场内资金结算由基金托管人根据中国证券登记结算有限责任公司结算数据办理；场外资金汇划由基金托管人根据</w:t>
      </w:r>
      <w:r w:rsidRPr="00F840E7">
        <w:rPr>
          <w:rFonts w:asciiTheme="minorEastAsia" w:hAnsiTheme="minorEastAsia" w:cstheme="minorEastAsia" w:hint="eastAsia"/>
          <w:sz w:val="24"/>
        </w:rPr>
        <w:lastRenderedPageBreak/>
        <w:t>基金管理人的交易划款指令具体办理。</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基金管理人应采取合理、必要措施，确保</w:t>
      </w:r>
      <w:r w:rsidRPr="00F840E7">
        <w:rPr>
          <w:rFonts w:asciiTheme="minorEastAsia" w:hAnsiTheme="minorEastAsia" w:cstheme="minorEastAsia"/>
          <w:sz w:val="24"/>
        </w:rPr>
        <w:t>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实行场内</w:t>
      </w:r>
      <w:r w:rsidRPr="00F840E7">
        <w:rPr>
          <w:rFonts w:asciiTheme="minorEastAsia" w:hAnsiTheme="minorEastAsia" w:cstheme="minorEastAsia"/>
          <w:sz w:val="24"/>
        </w:rPr>
        <w:t>T+0交收的资金清算按照基金托管人的相关规定流程执行。</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2.交易记录、资金和证券账目核对的时间和方式</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1）交易记录的核对</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2）资金账目的核对</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资金账目按日核实。</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3）证券账目的核对</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lastRenderedPageBreak/>
        <w:t>基金管理人和基金托管人每交易日结束后核对基金交易所场内证券账目，确保双方账目相符。基金管理人和基金托管人每月月末最后一个交易日核对非交易所场内的证券账目。</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（三）基金申购和赎回业务处理的基本规定</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1.基金份额申购、赎回的确认、清算由基金管理人或其委托的注册登记机构负责。</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3.基金管理人应保证本基金（或本基金管理人委托）的登记机构每个工作日15:00前向基金托管人发送前一开放日上述有关数据，并保证相关数据的准确、完整。</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5.如基金管理人委托其他机构办理本基金的注册登记业务，应保证上述相关事宜按时进行。否则，由基金管理人承担相应的责任。</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6.关于清算专用账户的设立和管理</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为满足申购、赎回及分红资金汇划的需要，由基金管理人开立资金清算的专用账户，该账户由登记机构管理。</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8.赎回和分红资金划拨规定</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w:t>
      </w:r>
      <w:r w:rsidRPr="00F840E7">
        <w:rPr>
          <w:rFonts w:asciiTheme="minorEastAsia" w:hAnsiTheme="minorEastAsia" w:cstheme="minorEastAsia" w:hint="eastAsia"/>
          <w:sz w:val="24"/>
        </w:rPr>
        <w:lastRenderedPageBreak/>
        <w:t>务。</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9.资金指令</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除申购款项到达基金资金账户需双方按约定方式对账外，回购到期付款和与投资有关的付款、赎回和分红资金划拨时，基金管理人需向基金托管人下达指令。</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资金指令的格式、内容、发送、接收和确认方式等与投资指令相同。</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（四）申赎净额结算</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基金托管账户与“基金清算账户”间的资金结算遵循“全额清算、净额交收”的原则，每日（</w:t>
      </w:r>
      <w:r w:rsidRPr="00F840E7">
        <w:rPr>
          <w:rFonts w:asciiTheme="minorEastAsia" w:hAnsiTheme="minorEastAsia" w:cstheme="minorEastAsia"/>
          <w:sz w:val="24"/>
        </w:rPr>
        <w:t>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（五）基金转换</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1.在本基金与基金管理人管理的其它基金开展转换业务之前，基金管理人应函告基金托管人并就相关事宜进行协商。</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2.基金托管人将根据基金管理人传送的基金转换数据进行账务处理，具体资金清算和数据传递的时间、程序及托管协议当事人承担的权责按基金管理人届时的公告执行。</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3.本基金开展基金转换业务应按相关法律法规规定及《基金合同》的约定进行公告。</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（六）基金现金分红</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1.基金管理人确定分红方案通知基金托管人，双方核定后依照《信息披露办法》的有关规定在中国证监会指定媒介上公告并报中国证监会备案。</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2.基金托管人和基金管理人对基金分红进行账务处理并核对后，基金管理人向基金托管人发送现金红利的划款指令，基金托管人应及时将资金划入专用账户。</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3.基金管理人在下达指令时，应给基金托管人留出必需的划款时间。</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（七）投资银行存款的特别约定</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lastRenderedPageBreak/>
        <w:t>1.本基金投资银行存款前，基金管理人应与存款银行签订具体存款协议，包括但不限于以下内容：</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1）存款账户必须以本基金名义开立</w:t>
      </w:r>
      <w:r w:rsidRPr="00F840E7">
        <w:rPr>
          <w:rFonts w:asciiTheme="minorEastAsia" w:hAnsiTheme="minorEastAsia" w:cstheme="minorEastAsia" w:hint="eastAsia"/>
          <w:sz w:val="24"/>
        </w:rPr>
        <w:t>，并将基金托管人为本基金开立的基金银行账户指定为唯一回款账户，任何情况下，存款银行都不得将存款投资本息划往任何其他账户。</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2）存款银行不得接受基金管理人或基金托管人任何一方单方面提出的对存款进行更名、转让、挂失、质押、担保、撤销、变更印鉴及回款账户信息等可能导致财产转移的操作申请。</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3）约定存款证实书的具体传递交接方式及交接期限。</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4）资金划转过程中需要使用存款银行过渡账户的，存款银行须保证资金在过渡账户中不出现滞留，不被挪用。</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346B7A" w:rsidRDefault="00C434A0">
      <w:pPr>
        <w:pStyle w:val="2"/>
        <w:jc w:val="center"/>
        <w:rPr>
          <w:rFonts w:asciiTheme="minorEastAsia" w:eastAsiaTheme="minorEastAsia" w:hAnsiTheme="minorEastAsia"/>
          <w:sz w:val="30"/>
        </w:rPr>
      </w:pPr>
      <w:bookmarkStart w:id="87" w:name="_Toc516758902"/>
      <w:r>
        <w:rPr>
          <w:rFonts w:asciiTheme="minorEastAsia" w:eastAsiaTheme="minorEastAsia" w:hAnsiTheme="minorEastAsia" w:hint="eastAsia"/>
          <w:sz w:val="30"/>
        </w:rPr>
        <w:t>八、基金资产净值计算和会计核算</w:t>
      </w:r>
      <w:bookmarkEnd w:id="87"/>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（一）基金资产净值的计算、复核与完成的时间及程序</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1.基金资产净值是指基金资产总值减去负债后的金额。基金份额净值是按照每个估值日闭市后，基金资产净值除以当日基金份额的余额数量计算，精确到0.0001元，小数点后第五位四舍五入。国家另有规定的，从其规定。</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基金</w:t>
      </w:r>
      <w:r w:rsidRPr="00F840E7">
        <w:rPr>
          <w:rFonts w:asciiTheme="minorEastAsia" w:hAnsiTheme="minorEastAsia" w:cstheme="minorEastAsia"/>
          <w:sz w:val="24"/>
        </w:rPr>
        <w:t>管理人</w:t>
      </w:r>
      <w:r w:rsidRPr="00F840E7">
        <w:rPr>
          <w:rFonts w:asciiTheme="minorEastAsia" w:hAnsiTheme="minorEastAsia" w:cstheme="minorEastAsia" w:hint="eastAsia"/>
          <w:sz w:val="24"/>
        </w:rPr>
        <w:t>每个估值日计算基金资产净值及基金份额净值，并按规定公告。</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2.基金管理人应每个估值</w:t>
      </w:r>
      <w:r w:rsidRPr="00F840E7">
        <w:rPr>
          <w:rFonts w:asciiTheme="minorEastAsia" w:hAnsiTheme="minorEastAsia" w:cstheme="minorEastAsia" w:hint="eastAsia"/>
          <w:sz w:val="24"/>
        </w:rPr>
        <w:t>日对基金资产估值。但基金管理人根据法律法规或《基金合同》的规定暂停估值时除外。基金管理人每个估值日对基金资产估值后，将基金份额净值结果发送基金托管人，经基金托管人复核无误后，由基金管理人</w:t>
      </w:r>
      <w:r w:rsidRPr="00F840E7">
        <w:rPr>
          <w:rFonts w:asciiTheme="minorEastAsia" w:hAnsiTheme="minorEastAsia" w:cstheme="minorEastAsia" w:hint="eastAsia"/>
          <w:sz w:val="24"/>
        </w:rPr>
        <w:lastRenderedPageBreak/>
        <w:t>对外公布。</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（二）基金资产估值方法和特殊情形的处理</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1.</w:t>
      </w:r>
      <w:r w:rsidRPr="00F840E7">
        <w:rPr>
          <w:rFonts w:asciiTheme="minorEastAsia" w:hAnsiTheme="minorEastAsia" w:cstheme="minorEastAsia" w:hint="eastAsia"/>
          <w:sz w:val="24"/>
        </w:rPr>
        <w:t>估值对象</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基金所拥有的债券、银行存款本息、应收款项、其它投资等资产及负债。</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2.</w:t>
      </w:r>
      <w:r w:rsidRPr="00F840E7">
        <w:rPr>
          <w:rFonts w:asciiTheme="minorEastAsia" w:hAnsiTheme="minorEastAsia" w:cstheme="minorEastAsia" w:hint="eastAsia"/>
          <w:sz w:val="24"/>
        </w:rPr>
        <w:t>估值方法</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1）证券交易所上市的有价证券的估值</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2）交易所上市实行净价交易的债券按估值日第三方估值机构提供的相应品种当日的估值净价估值，估值日没有交易的，且最近交易日后经济环境未发生重大变化，按最近交易日第三方估值机构提供的相应品种当日的估值净价估值。如最近交易日后经济环境发生了重大变化的，可参考类似投资品种的现行市价及重大变化因素，调整最近交易市价，确定公允价值；</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3）交易所上市未实行净价交易的债券按估值日收盘价或第三方估值机构提供的相应品种当日的估值全价减去债券收盘价或估值全价中所含的债券应收利息得到的净价进行估值；估值日没有交易的，且最近交易日后经济环境未发生重大变化，按最近交易日债券收盘价或第三方估值机构提供的相应品种当日的估值全价减去债券收盘价或估值全价中所含的债券应收利息得到的净价进行估值。如最近交易日后经济环境发生了重大变化的，可参考类似投资品种的现行市价及重大变化因素，调整最近交易市价，确定公允价值；</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sz w:val="24"/>
        </w:rPr>
        <w:t>4）交易所上市不存在活跃市场的有价证券，采用估值技术确定公允价值。交易所上市的资产支持证券，采用估值技术确定公允价值，在估值技术难以可靠计量公允价值的情况下，按成本估值。</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2）首次公开发行未上市的债券，采用估值技术确定公允价值，在估值技术难以可靠计量公允价值的情况下，按成本估值。</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3）全国银行间债券市场交易的债券、资产支持证券等品种，以第三方估值</w:t>
      </w:r>
      <w:r w:rsidRPr="00F840E7">
        <w:rPr>
          <w:rFonts w:asciiTheme="minorEastAsia" w:hAnsiTheme="minorEastAsia" w:cstheme="minorEastAsia"/>
          <w:sz w:val="24"/>
        </w:rPr>
        <w:lastRenderedPageBreak/>
        <w:t>机构提供的价格数据估值。</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4）同一债券同时在两个或两个以上市场交易的，按债券所处的市场分别估值。</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5）本基金持有的回购以成本列示，按合同利率在回购期间内逐日计提应收或应付利息。</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6）本基金持有的银行存款和备付金余额以本金列示，按相应利率逐日计提利息。</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7）如有确凿证据表明按上述方法进行估值不能客观反映其公允价值的，基金管理人可根据具体情况与基金托管人商定后，按最能反映公允价值的价格估值。</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8）当本基金发生大额申购或赎回情形时，基金管理人可以采用摆动定价机制，以确保基金估值的公平性。</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9）相关法律法规以及监管部门有强制规定的，从其规定。如有新增事项，按国家最新规定估值。</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如基金管理人或基金托管人发现基金估值违反基金合同订明的估值方法、程序及相关法律法规的规定或者未能充分维护基金份额持有人利益时，发现方应及时通知对方，共同查明原因，双方协商解决，以约定的方法、程序和相关法律法规的规定进行估值，以维护基金份额持有人的利益。</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根据有关法律法规，基金资产净值计算、各类基金份额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净值的计算结果对外予以公布。</w:t>
      </w:r>
    </w:p>
    <w:p w:rsidR="00346B7A" w:rsidRPr="00F840E7" w:rsidRDefault="00C434A0" w:rsidP="00F840E7">
      <w:pPr>
        <w:adjustRightInd w:val="0"/>
        <w:snapToGrid w:val="0"/>
        <w:spacing w:line="360" w:lineRule="auto"/>
        <w:ind w:firstLineChars="200" w:firstLine="480"/>
        <w:rPr>
          <w:rStyle w:val="read"/>
          <w:rFonts w:asciiTheme="minorEastAsia" w:hAnsiTheme="minorEastAsia" w:cstheme="minorEastAsia"/>
          <w:sz w:val="24"/>
        </w:rPr>
      </w:pPr>
      <w:r w:rsidRPr="00F840E7">
        <w:rPr>
          <w:rStyle w:val="read"/>
          <w:rFonts w:asciiTheme="minorEastAsia" w:hAnsiTheme="minorEastAsia" w:cstheme="minorEastAsia"/>
          <w:sz w:val="24"/>
        </w:rPr>
        <w:t>3.特殊情形的处理</w:t>
      </w:r>
    </w:p>
    <w:p w:rsidR="00346B7A" w:rsidRPr="00F840E7" w:rsidRDefault="00C434A0" w:rsidP="00F840E7">
      <w:pPr>
        <w:adjustRightInd w:val="0"/>
        <w:snapToGrid w:val="0"/>
        <w:spacing w:line="360" w:lineRule="auto"/>
        <w:ind w:firstLineChars="200" w:firstLine="480"/>
        <w:rPr>
          <w:rStyle w:val="read"/>
          <w:rFonts w:asciiTheme="minorEastAsia" w:hAnsiTheme="minorEastAsia" w:cstheme="minorEastAsia"/>
          <w:sz w:val="24"/>
        </w:rPr>
      </w:pPr>
      <w:r w:rsidRPr="00F840E7">
        <w:rPr>
          <w:rStyle w:val="read"/>
          <w:rFonts w:asciiTheme="minorEastAsia" w:hAnsiTheme="minorEastAsia" w:cstheme="minorEastAsia" w:hint="eastAsia"/>
          <w:sz w:val="24"/>
        </w:rPr>
        <w:t>基金管理人、基金托管人按估值方法的第（</w:t>
      </w:r>
      <w:r w:rsidRPr="00F840E7">
        <w:rPr>
          <w:rStyle w:val="read"/>
          <w:rFonts w:asciiTheme="minorEastAsia" w:hAnsiTheme="minorEastAsia" w:cstheme="minorEastAsia"/>
          <w:sz w:val="24"/>
        </w:rPr>
        <w:t>7</w:t>
      </w:r>
      <w:r w:rsidRPr="00F840E7">
        <w:rPr>
          <w:rStyle w:val="read"/>
          <w:rFonts w:asciiTheme="minorEastAsia" w:hAnsiTheme="minorEastAsia" w:cstheme="minorEastAsia" w:hint="eastAsia"/>
          <w:sz w:val="24"/>
        </w:rPr>
        <w:t>）项进行估值时，所造成的误差不作为基金</w:t>
      </w:r>
      <w:r w:rsidRPr="00F840E7">
        <w:rPr>
          <w:rFonts w:asciiTheme="minorEastAsia" w:hAnsiTheme="minorEastAsia" w:cstheme="minorEastAsia" w:hint="eastAsia"/>
          <w:bCs/>
          <w:sz w:val="24"/>
          <w:szCs w:val="24"/>
        </w:rPr>
        <w:t>资产估值</w:t>
      </w:r>
      <w:r w:rsidRPr="00F840E7">
        <w:rPr>
          <w:rStyle w:val="read"/>
          <w:rFonts w:asciiTheme="minorEastAsia" w:hAnsiTheme="minorEastAsia" w:cstheme="minorEastAsia" w:hint="eastAsia"/>
          <w:sz w:val="24"/>
        </w:rPr>
        <w:t>错误处理。</w:t>
      </w:r>
    </w:p>
    <w:p w:rsidR="00346B7A" w:rsidRPr="00F840E7" w:rsidRDefault="00C434A0" w:rsidP="00F840E7">
      <w:pPr>
        <w:adjustRightInd w:val="0"/>
        <w:snapToGrid w:val="0"/>
        <w:spacing w:line="360" w:lineRule="auto"/>
        <w:ind w:firstLineChars="200" w:firstLine="480"/>
        <w:rPr>
          <w:rStyle w:val="read"/>
          <w:rFonts w:asciiTheme="minorEastAsia" w:hAnsiTheme="minorEastAsia" w:cstheme="minorEastAsia"/>
          <w:sz w:val="24"/>
        </w:rPr>
      </w:pPr>
      <w:r w:rsidRPr="00F840E7">
        <w:rPr>
          <w:rStyle w:val="read"/>
          <w:rFonts w:asciiTheme="minorEastAsia" w:hAnsiTheme="minorEastAsia" w:cstheme="minorEastAsia" w:hint="eastAsia"/>
          <w:sz w:val="24"/>
        </w:rPr>
        <w:t>（三）基金份额净值错误的处理方式</w:t>
      </w:r>
    </w:p>
    <w:p w:rsidR="00346B7A" w:rsidRPr="00F840E7" w:rsidRDefault="00C434A0" w:rsidP="00F840E7">
      <w:pPr>
        <w:adjustRightInd w:val="0"/>
        <w:snapToGrid w:val="0"/>
        <w:spacing w:line="360" w:lineRule="auto"/>
        <w:ind w:firstLineChars="200" w:firstLine="480"/>
        <w:rPr>
          <w:rStyle w:val="read"/>
          <w:rFonts w:asciiTheme="minorEastAsia" w:hAnsiTheme="minorEastAsia" w:cstheme="minorEastAsia"/>
          <w:sz w:val="24"/>
        </w:rPr>
      </w:pPr>
      <w:r w:rsidRPr="00F840E7">
        <w:rPr>
          <w:rStyle w:val="read"/>
          <w:rFonts w:asciiTheme="minorEastAsia" w:hAnsiTheme="minorEastAsia" w:cstheme="minorEastAsia"/>
          <w:sz w:val="24"/>
        </w:rPr>
        <w:t>1.当任一类基金份额净值小数点后4</w:t>
      </w:r>
      <w:r w:rsidRPr="00F840E7">
        <w:rPr>
          <w:rStyle w:val="read"/>
          <w:rFonts w:asciiTheme="minorEastAsia" w:hAnsiTheme="minorEastAsia" w:cstheme="minorEastAsia" w:hint="eastAsia"/>
          <w:sz w:val="24"/>
        </w:rPr>
        <w:t>位以内（含第</w:t>
      </w:r>
      <w:r w:rsidRPr="00F840E7">
        <w:rPr>
          <w:rStyle w:val="read"/>
          <w:rFonts w:asciiTheme="minorEastAsia" w:hAnsiTheme="minorEastAsia" w:cstheme="minorEastAsia"/>
          <w:sz w:val="24"/>
        </w:rPr>
        <w:t>4</w:t>
      </w:r>
      <w:r w:rsidRPr="00F840E7">
        <w:rPr>
          <w:rStyle w:val="read"/>
          <w:rFonts w:asciiTheme="minorEastAsia" w:hAnsiTheme="minorEastAsia" w:cstheme="minorEastAsia" w:hint="eastAsia"/>
          <w:sz w:val="24"/>
        </w:rPr>
        <w:t>位）发生差错时，视为基金份额净值错误；基金份额净值出现错误时，基金管理人应当立即予以纠正，通报基金托管人，并采取合理的措施防止损失进一步扩大；错误偏差达到基金份额净值的</w:t>
      </w:r>
      <w:r w:rsidRPr="00F840E7">
        <w:rPr>
          <w:rStyle w:val="read"/>
          <w:rFonts w:asciiTheme="minorEastAsia" w:hAnsiTheme="minorEastAsia" w:cstheme="minorEastAsia"/>
          <w:sz w:val="24"/>
        </w:rPr>
        <w:t>0.25%时，基金管理人应当通报基金托管人并报中国证监会备案</w:t>
      </w:r>
      <w:r w:rsidRPr="00F840E7">
        <w:rPr>
          <w:rFonts w:asciiTheme="minorEastAsia" w:hAnsiTheme="minorEastAsia" w:cstheme="minorEastAsia" w:hint="eastAsia"/>
          <w:sz w:val="24"/>
        </w:rPr>
        <w:t>；错误偏</w:t>
      </w:r>
      <w:r w:rsidRPr="00F840E7">
        <w:rPr>
          <w:rFonts w:asciiTheme="minorEastAsia" w:hAnsiTheme="minorEastAsia" w:cstheme="minorEastAsia" w:hint="eastAsia"/>
          <w:sz w:val="24"/>
        </w:rPr>
        <w:lastRenderedPageBreak/>
        <w:t>差达到基金份额净值的</w:t>
      </w:r>
      <w:r w:rsidRPr="00F840E7">
        <w:rPr>
          <w:rFonts w:asciiTheme="minorEastAsia" w:hAnsiTheme="minorEastAsia" w:cstheme="minorEastAsia"/>
          <w:sz w:val="24"/>
        </w:rPr>
        <w:t>0.5%时，基金管理人应当公告</w:t>
      </w:r>
      <w:r w:rsidRPr="00F840E7">
        <w:rPr>
          <w:rFonts w:asciiTheme="minorEastAsia" w:hAnsiTheme="minorEastAsia" w:cstheme="minorEastAsia" w:hint="eastAsia"/>
          <w:bCs/>
          <w:sz w:val="24"/>
          <w:szCs w:val="24"/>
        </w:rPr>
        <w:t>，并报中国证监会备案</w:t>
      </w:r>
      <w:r w:rsidRPr="00F840E7">
        <w:rPr>
          <w:rStyle w:val="read"/>
          <w:rFonts w:asciiTheme="minorEastAsia" w:hAnsiTheme="minorEastAsia" w:cstheme="minorEastAsia" w:hint="eastAsia"/>
          <w:sz w:val="24"/>
        </w:rPr>
        <w:t>；当发生净值计算错误时，由基金管理人负责处理，由此给基金份额持有人和基金造成损失的，应由基金管理人先行赔付，基金管理人按差错情形，有权向其他当事人追偿。</w:t>
      </w:r>
    </w:p>
    <w:p w:rsidR="00346B7A" w:rsidRPr="00F840E7" w:rsidRDefault="00C434A0" w:rsidP="00F840E7">
      <w:pPr>
        <w:adjustRightInd w:val="0"/>
        <w:snapToGrid w:val="0"/>
        <w:spacing w:line="360" w:lineRule="auto"/>
        <w:ind w:firstLineChars="200" w:firstLine="480"/>
        <w:rPr>
          <w:rStyle w:val="read"/>
          <w:rFonts w:asciiTheme="minorEastAsia" w:hAnsiTheme="minorEastAsia" w:cstheme="minorEastAsia"/>
          <w:sz w:val="24"/>
        </w:rPr>
      </w:pPr>
      <w:r w:rsidRPr="00F840E7">
        <w:rPr>
          <w:rStyle w:val="read"/>
          <w:rFonts w:asciiTheme="minorEastAsia" w:hAnsiTheme="minorEastAsia" w:cstheme="minorEastAsia"/>
          <w:sz w:val="24"/>
        </w:rPr>
        <w:t>2.当基金份额净值计算差错给基金和基金份额持有人造成损失需要进行赔偿时，基金管理人和基金托管人应根据实际情况界定双方承担的责任，经确认后按以下条款进行赔偿：</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Style w:val="read"/>
          <w:rFonts w:asciiTheme="minorEastAsia" w:hAnsiTheme="minorEastAsia" w:cstheme="minorEastAsia" w:hint="eastAsia"/>
          <w:sz w:val="24"/>
        </w:rPr>
        <w:t>（</w:t>
      </w:r>
      <w:r w:rsidRPr="00F840E7">
        <w:rPr>
          <w:rStyle w:val="read"/>
          <w:rFonts w:asciiTheme="minorEastAsia" w:hAnsiTheme="minorEastAsia" w:cstheme="minor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F840E7">
        <w:rPr>
          <w:rFonts w:asciiTheme="minorEastAsia" w:hAnsiTheme="minorEastAsia" w:cstheme="minorEastAsia" w:hint="eastAsia"/>
          <w:sz w:val="24"/>
        </w:rPr>
        <w:t>损失，由基金管理人负责赔付。</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2）</w:t>
      </w:r>
      <w:r w:rsidRPr="00F840E7">
        <w:rPr>
          <w:rFonts w:asciiTheme="minorEastAsia" w:hAnsiTheme="minorEastAsia" w:cs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4）</w:t>
      </w:r>
      <w:r w:rsidRPr="00F840E7">
        <w:rPr>
          <w:rFonts w:asciiTheme="minorEastAsia" w:hAnsiTheme="minorEastAsia" w:cs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sz w:val="24"/>
        </w:rPr>
        <w:t>3.</w:t>
      </w:r>
      <w:r w:rsidRPr="00F840E7">
        <w:rPr>
          <w:rFonts w:asciiTheme="minorEastAsia" w:hAnsiTheme="minorEastAsia" w:cstheme="minorEastAsia" w:hint="eastAsia"/>
          <w:bCs/>
          <w:sz w:val="24"/>
          <w:szCs w:val="24"/>
        </w:rPr>
        <w:t>由于不可抗力原因，或由于证券交易场所及登记结算公司、证券经纪机构发送</w:t>
      </w:r>
      <w:r w:rsidRPr="00F840E7">
        <w:rPr>
          <w:rFonts w:asciiTheme="minorEastAsia" w:hAnsiTheme="minorEastAsia" w:cstheme="minorEastAsia"/>
          <w:bCs/>
          <w:sz w:val="24"/>
          <w:szCs w:val="24"/>
        </w:rPr>
        <w:t>的</w:t>
      </w:r>
      <w:r w:rsidRPr="00F840E7">
        <w:rPr>
          <w:rFonts w:asciiTheme="minorEastAsia" w:hAnsiTheme="minorEastAsia" w:cstheme="minorEastAsia" w:hint="eastAsia"/>
          <w:bCs/>
          <w:sz w:val="24"/>
          <w:szCs w:val="24"/>
        </w:rPr>
        <w:t>数据</w:t>
      </w:r>
      <w:r w:rsidRPr="00F840E7">
        <w:rPr>
          <w:rFonts w:asciiTheme="minorEastAsia" w:hAnsiTheme="minorEastAsia" w:cstheme="minorEastAsia"/>
          <w:bCs/>
          <w:sz w:val="24"/>
          <w:szCs w:val="24"/>
        </w:rPr>
        <w:t>错误</w:t>
      </w:r>
      <w:r w:rsidRPr="00F840E7">
        <w:rPr>
          <w:rFonts w:asciiTheme="minorEastAsia" w:hAnsiTheme="minorEastAsia" w:cstheme="minorEastAsia" w:hint="eastAsia"/>
          <w:bCs/>
          <w:sz w:val="24"/>
          <w:szCs w:val="24"/>
        </w:rPr>
        <w:t>，或第三方估值机构提供的估值数据错误，有关会计制度变化或由于其他不可抗力原因等，基金管理人和基金托管人虽然已经采取必要、适当、合理的措施进行检查，但未能发现该错误的，由此造成的基金资产估值错误，基金管</w:t>
      </w:r>
      <w:r w:rsidRPr="00F840E7">
        <w:rPr>
          <w:rFonts w:asciiTheme="minorEastAsia" w:hAnsiTheme="minorEastAsia" w:cstheme="minorEastAsia" w:hint="eastAsia"/>
          <w:kern w:val="0"/>
          <w:sz w:val="24"/>
        </w:rPr>
        <w:t>理人和基金托管人免除赔偿责任。但基金管理人、基金托管人应当积极采取必要的措施消除</w:t>
      </w:r>
      <w:r w:rsidRPr="00F840E7">
        <w:rPr>
          <w:rFonts w:asciiTheme="minorEastAsia" w:hAnsiTheme="minorEastAsia" w:cstheme="minorEastAsia"/>
          <w:kern w:val="0"/>
          <w:sz w:val="24"/>
        </w:rPr>
        <w:t>或</w:t>
      </w:r>
      <w:r w:rsidRPr="00F840E7">
        <w:rPr>
          <w:rFonts w:asciiTheme="minorEastAsia" w:hAnsiTheme="minorEastAsia" w:cstheme="minorEastAsia" w:hint="eastAsia"/>
          <w:kern w:val="0"/>
          <w:sz w:val="24"/>
        </w:rPr>
        <w:t>减轻由此造成的影响。</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kern w:val="0"/>
          <w:sz w:val="24"/>
        </w:rPr>
        <w:t>4.基金管理人和基金托管人由于各自技术系统设置而产生的净值计算尾差，以基金管理人计算结果为准。</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kern w:val="0"/>
          <w:sz w:val="24"/>
        </w:rPr>
        <w:lastRenderedPageBreak/>
        <w:t>5.前述内容如法律法规或者监管部门另有规定的，从其规定。如果行业另有通行做法，双方当事人应本着平等和保护基金份额持有人利益的原则进行协商。</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hint="eastAsia"/>
          <w:kern w:val="0"/>
          <w:sz w:val="24"/>
        </w:rPr>
        <w:t>（四）暂停估值与公告基金份额净值的情形</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kern w:val="0"/>
          <w:sz w:val="24"/>
        </w:rPr>
        <w:t>1.基金投资所涉及的证券交易市场遇法定节假日或因其他原因暂停营业时；</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kern w:val="0"/>
          <w:sz w:val="24"/>
        </w:rPr>
        <w:t>2.因不可抗力致使基金管理人、基金托管人无法准确评估基金资产价值时；</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kern w:val="0"/>
          <w:sz w:val="24"/>
        </w:rPr>
        <w:t>3.当前一估值日基金资产净值50%以上的资产出现无可参考的活跃市场价格且采用估值技术仍导致公允价值存在重大不确定性时，经与基金托管人协商一致的，基金管理人应当暂停估值；</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kern w:val="0"/>
          <w:sz w:val="24"/>
        </w:rPr>
        <w:t>4.法律法规、中国证监会和《基金合同》认定的其他情形。</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hint="eastAsia"/>
          <w:kern w:val="0"/>
          <w:sz w:val="24"/>
        </w:rPr>
        <w:t>（五）基金会计制度</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hint="eastAsia"/>
          <w:kern w:val="0"/>
          <w:sz w:val="24"/>
        </w:rPr>
        <w:t>按国家有关部门规定的会计制度执行。</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hint="eastAsia"/>
          <w:kern w:val="0"/>
          <w:sz w:val="24"/>
        </w:rPr>
        <w:t>（六）</w:t>
      </w:r>
      <w:bookmarkStart w:id="88" w:name="_Hlk525656675"/>
      <w:r w:rsidRPr="00F840E7">
        <w:rPr>
          <w:rFonts w:asciiTheme="minorEastAsia" w:hAnsiTheme="minorEastAsia" w:cstheme="minorEastAsia" w:hint="eastAsia"/>
          <w:kern w:val="0"/>
          <w:sz w:val="24"/>
        </w:rPr>
        <w:t>基金账册的建立</w:t>
      </w:r>
      <w:bookmarkEnd w:id="88"/>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hint="eastAsia"/>
          <w:kern w:val="0"/>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hint="eastAsia"/>
          <w:kern w:val="0"/>
          <w:sz w:val="24"/>
        </w:rPr>
        <w:t>（七）基金财务报表与报告的编制和复核</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kern w:val="0"/>
          <w:sz w:val="24"/>
        </w:rPr>
        <w:t>1.财务报表的编制</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hint="eastAsia"/>
          <w:kern w:val="0"/>
          <w:sz w:val="24"/>
        </w:rPr>
        <w:t>基金财务报表由基金管理人编制，基金托管人复核。</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kern w:val="0"/>
          <w:sz w:val="24"/>
        </w:rPr>
        <w:t>2.报表复核</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hint="eastAsia"/>
          <w:kern w:val="0"/>
          <w:sz w:val="24"/>
        </w:rPr>
        <w:t>基金托管人在收到基金管理人编制的基金财务报表后，进行独立的复核。核对不符时，应及时通知基金管理人共同查出原因，进行调整，直至双方数据完全一致。</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kern w:val="0"/>
          <w:sz w:val="24"/>
        </w:rPr>
      </w:pPr>
      <w:r w:rsidRPr="00F840E7">
        <w:rPr>
          <w:rFonts w:asciiTheme="minorEastAsia" w:hAnsiTheme="minorEastAsia" w:cstheme="minorEastAsia"/>
          <w:kern w:val="0"/>
          <w:sz w:val="24"/>
        </w:rPr>
        <w:t>3.财务报表的编制与复核时间安排</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w:t>
      </w:r>
      <w:r w:rsidRPr="00F840E7">
        <w:rPr>
          <w:rFonts w:asciiTheme="minorEastAsia" w:hAnsiTheme="minorEastAsia" w:cstheme="minorEastAsia"/>
          <w:sz w:val="24"/>
        </w:rPr>
        <w:t>1）报表的编制</w:t>
      </w:r>
    </w:p>
    <w:p w:rsidR="00346B7A" w:rsidRPr="00F840E7" w:rsidRDefault="00C434A0" w:rsidP="00F840E7">
      <w:pPr>
        <w:adjustRightInd w:val="0"/>
        <w:snapToGrid w:val="0"/>
        <w:spacing w:line="360" w:lineRule="auto"/>
        <w:ind w:firstLineChars="200" w:firstLine="480"/>
        <w:rPr>
          <w:rFonts w:asciiTheme="minorEastAsia" w:hAnsiTheme="minorEastAsia" w:cstheme="minorEastAsia"/>
          <w:sz w:val="24"/>
        </w:rPr>
      </w:pPr>
      <w:r w:rsidRPr="00F840E7">
        <w:rPr>
          <w:rFonts w:asciiTheme="minorEastAsia" w:hAnsiTheme="minorEastAsia" w:cstheme="minorEastAsia" w:hint="eastAsia"/>
          <w:sz w:val="24"/>
        </w:rPr>
        <w:t>基金管理人应当在每月结束后</w:t>
      </w:r>
      <w:r w:rsidRPr="00F840E7">
        <w:rPr>
          <w:rFonts w:asciiTheme="minorEastAsia" w:hAnsiTheme="minorEastAsia" w:cstheme="minorEastAsia"/>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w:t>
      </w:r>
      <w:r w:rsidRPr="00F840E7">
        <w:rPr>
          <w:rFonts w:asciiTheme="minorEastAsia" w:hAnsiTheme="minorEastAsia" w:cstheme="minorEastAsia"/>
          <w:sz w:val="24"/>
        </w:rPr>
        <w:lastRenderedPageBreak/>
        <w:t>的，基金管理人可以不编制当期季度报告、半年度报告或者年度报告。</w:t>
      </w:r>
    </w:p>
    <w:p w:rsidR="00346B7A" w:rsidRPr="00F840E7" w:rsidRDefault="00C434A0" w:rsidP="00F840E7">
      <w:pPr>
        <w:pStyle w:val="a0"/>
        <w:adjustRightInd w:val="0"/>
        <w:snapToGrid w:val="0"/>
        <w:spacing w:line="360" w:lineRule="auto"/>
        <w:ind w:firstLine="480"/>
        <w:rPr>
          <w:rFonts w:asciiTheme="minorEastAsia" w:eastAsiaTheme="minorEastAsia" w:hAnsiTheme="minorEastAsia" w:cstheme="minorEastAsia"/>
          <w:sz w:val="24"/>
        </w:rPr>
      </w:pPr>
      <w:r w:rsidRPr="00F840E7">
        <w:rPr>
          <w:rFonts w:asciiTheme="minorEastAsia" w:eastAsiaTheme="minorEastAsia" w:hAnsiTheme="minorEastAsia" w:cstheme="minorEastAsia" w:hint="eastAsia"/>
          <w:sz w:val="24"/>
        </w:rPr>
        <w:t>（</w:t>
      </w:r>
      <w:r w:rsidRPr="00F840E7">
        <w:rPr>
          <w:rFonts w:asciiTheme="minorEastAsia" w:eastAsiaTheme="minorEastAsia" w:hAnsiTheme="minorEastAsia" w:cstheme="minorEastAsia"/>
          <w:sz w:val="24"/>
        </w:rPr>
        <w:t>2）报表的复核</w:t>
      </w:r>
    </w:p>
    <w:p w:rsidR="00346B7A" w:rsidRPr="00F840E7" w:rsidRDefault="00C434A0" w:rsidP="00F840E7">
      <w:pPr>
        <w:pStyle w:val="a0"/>
        <w:adjustRightInd w:val="0"/>
        <w:snapToGrid w:val="0"/>
        <w:spacing w:line="360" w:lineRule="auto"/>
        <w:ind w:firstLine="480"/>
        <w:rPr>
          <w:rFonts w:asciiTheme="minorEastAsia" w:eastAsiaTheme="minorEastAsia" w:hAnsiTheme="minorEastAsia" w:cstheme="minorEastAsia"/>
          <w:sz w:val="24"/>
        </w:rPr>
      </w:pPr>
      <w:r w:rsidRPr="00F840E7">
        <w:rPr>
          <w:rFonts w:asciiTheme="minorEastAsia" w:eastAsiaTheme="minorEastAsia" w:hAnsiTheme="minorEastAsia" w:cstheme="minorEastAsia"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46B7A" w:rsidRPr="00F840E7" w:rsidRDefault="00C434A0" w:rsidP="00F840E7">
      <w:pPr>
        <w:pStyle w:val="a0"/>
        <w:adjustRightInd w:val="0"/>
        <w:snapToGrid w:val="0"/>
        <w:spacing w:line="360" w:lineRule="auto"/>
        <w:ind w:firstLine="480"/>
        <w:rPr>
          <w:rFonts w:asciiTheme="minorEastAsia" w:eastAsiaTheme="minorEastAsia" w:hAnsiTheme="minorEastAsia" w:cstheme="minorEastAsia"/>
          <w:sz w:val="24"/>
        </w:rPr>
      </w:pPr>
      <w:r w:rsidRPr="00F840E7">
        <w:rPr>
          <w:rFonts w:asciiTheme="minorEastAsia" w:eastAsiaTheme="minorEastAsia" w:hAnsiTheme="minorEastAsia" w:cstheme="minorEastAsia" w:hint="eastAsia"/>
          <w:sz w:val="24"/>
        </w:rPr>
        <w:t>基金管理人应留足充分的时间，便于基金托管人复核相关报表及报告。</w:t>
      </w:r>
    </w:p>
    <w:p w:rsidR="00346B7A" w:rsidRDefault="00C434A0" w:rsidP="00F840E7">
      <w:pPr>
        <w:pStyle w:val="a0"/>
        <w:adjustRightInd w:val="0"/>
        <w:snapToGrid w:val="0"/>
        <w:spacing w:line="360" w:lineRule="auto"/>
        <w:ind w:firstLineChars="0" w:firstLine="480"/>
        <w:rPr>
          <w:rFonts w:asciiTheme="minorEastAsia" w:eastAsiaTheme="minorEastAsia" w:hAnsiTheme="minorEastAsia" w:cs="Arial"/>
          <w:sz w:val="24"/>
        </w:rPr>
      </w:pPr>
      <w:r w:rsidRPr="00F840E7">
        <w:rPr>
          <w:rFonts w:asciiTheme="minorEastAsia" w:hAnsiTheme="minorEastAsia" w:cstheme="minorEastAsia" w:hint="eastAsia"/>
          <w:sz w:val="24"/>
        </w:rPr>
        <w:t>（八）基金管理人应在编制季度报告、半年度报告或者年度报告之前及时向基金托管人提供基金业绩比较基准的基础数据和编制结果。</w:t>
      </w:r>
    </w:p>
    <w:p w:rsidR="00346B7A" w:rsidRDefault="00C434A0">
      <w:pPr>
        <w:pStyle w:val="2"/>
        <w:jc w:val="center"/>
        <w:rPr>
          <w:rFonts w:asciiTheme="minorEastAsia" w:eastAsiaTheme="minorEastAsia" w:hAnsiTheme="minorEastAsia"/>
          <w:sz w:val="30"/>
        </w:rPr>
      </w:pPr>
      <w:bookmarkStart w:id="89" w:name="_Toc516758903"/>
      <w:r>
        <w:rPr>
          <w:rFonts w:asciiTheme="minorEastAsia" w:eastAsiaTheme="minorEastAsia" w:hAnsiTheme="minorEastAsia" w:hint="eastAsia"/>
          <w:sz w:val="30"/>
        </w:rPr>
        <w:t>九、基金收益分配</w:t>
      </w:r>
      <w:bookmarkEnd w:id="89"/>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基金收益分配是指按规定将基金的可分配收益按基金份额进行比例分配。</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（一）基金收益分配的原则</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基金收益分配应遵循下列原则：</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sz w:val="24"/>
        </w:rPr>
        <w:t>1</w:t>
      </w:r>
      <w:r>
        <w:rPr>
          <w:rFonts w:asciiTheme="minorEastAsia" w:hAnsiTheme="minorEastAsia" w:cs="Arial" w:hint="eastAsia"/>
          <w:sz w:val="24"/>
        </w:rPr>
        <w:t>．本基金在符合基金法定分红条件的前提下可进行收益分配，每次收益分配比例等具体分红方案见基金管理人根据基金运作情况届时不定期发布的相关分红公告；</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sz w:val="24"/>
        </w:rPr>
        <w:t>2</w:t>
      </w:r>
      <w:r>
        <w:rPr>
          <w:rFonts w:asciiTheme="minorEastAsia" w:hAnsiTheme="minorEastAsia" w:cs="Arial" w:hint="eastAsia"/>
          <w:sz w:val="24"/>
        </w:rPr>
        <w:t>．本基金收益分配方式分两种：现金分红与红利再投资，基金份额持有人可选择现金红利或将现金红利自动转为相应类别的基金份额进行再投资；若基金份额持有人不选择，本基金默认的收益分配方式是现金分红；红利再投方式免收再投资的费用；</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sz w:val="24"/>
        </w:rPr>
        <w:t>3</w:t>
      </w:r>
      <w:r>
        <w:rPr>
          <w:rFonts w:asciiTheme="minorEastAsia" w:hAnsiTheme="minorEastAsia" w:cs="Arial" w:hint="eastAsia"/>
          <w:sz w:val="24"/>
        </w:rPr>
        <w:t>．基金收益分配后基金份额净值不能低于面值，即基金收益分配基准日的基金份额净值减去每单位基金份额收益分配金额后不能低于面值；</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sz w:val="24"/>
        </w:rPr>
        <w:t>4</w:t>
      </w:r>
      <w:r>
        <w:rPr>
          <w:rFonts w:asciiTheme="minorEastAsia" w:hAnsiTheme="minorEastAsia" w:cs="Arial" w:hint="eastAsia"/>
          <w:sz w:val="24"/>
        </w:rPr>
        <w:t>．由于本基金</w:t>
      </w:r>
      <w:r>
        <w:rPr>
          <w:rFonts w:asciiTheme="minorEastAsia" w:hAnsiTheme="minorEastAsia" w:cs="Arial"/>
          <w:sz w:val="24"/>
        </w:rPr>
        <w:t>A</w:t>
      </w:r>
      <w:r>
        <w:rPr>
          <w:rFonts w:asciiTheme="minorEastAsia" w:hAnsiTheme="minorEastAsia" w:cs="Arial" w:hint="eastAsia"/>
          <w:sz w:val="24"/>
        </w:rPr>
        <w:t>类基金份额不收取销售服务费，而</w:t>
      </w:r>
      <w:r>
        <w:rPr>
          <w:rFonts w:asciiTheme="minorEastAsia" w:hAnsiTheme="minorEastAsia" w:cs="Arial"/>
          <w:sz w:val="24"/>
        </w:rPr>
        <w:t>C</w:t>
      </w:r>
      <w:r>
        <w:rPr>
          <w:rFonts w:asciiTheme="minorEastAsia" w:hAnsiTheme="minorEastAsia" w:cs="Arial" w:hint="eastAsia"/>
          <w:sz w:val="24"/>
        </w:rPr>
        <w:t>类基金份额收取销售服务费，各基金份额类别对应的可供分配利润将有所不同，本基金同一类别的每一基金份额享有同等分配权；</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sz w:val="24"/>
        </w:rPr>
        <w:t>5</w:t>
      </w:r>
      <w:r>
        <w:rPr>
          <w:rFonts w:asciiTheme="minorEastAsia" w:hAnsiTheme="minorEastAsia" w:cs="Arial" w:hint="eastAsia"/>
          <w:sz w:val="24"/>
        </w:rPr>
        <w:t>．法律法规或监管机关另有规定的，从其规定。</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在不违反法律法规且对基金份额持有人利益无实质不利影响的前提下，基金管理人可在法律法规允许的前提下，按照监管部门要求履行适当程序并与基金托管人协商一致后，酌情调整以上基金收益分配原则，并于变更实施日前在指定媒</w:t>
      </w:r>
      <w:r>
        <w:rPr>
          <w:rFonts w:asciiTheme="minorEastAsia" w:hAnsiTheme="minorEastAsia" w:cs="Arial" w:hint="eastAsia"/>
          <w:sz w:val="24"/>
        </w:rPr>
        <w:lastRenderedPageBreak/>
        <w:t>介上公告，且不需召开基金份额持有人大会。</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（二）基金收益分配的时间和程序</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本基金收益分配方案由基金管理人拟订，并由基金托管人复核，依照《信息披露办法》的有关规定在指定媒介公告并报中国证监会备案。基金红利发放日距离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346B7A" w:rsidRDefault="00C434A0">
      <w:pPr>
        <w:pStyle w:val="2"/>
        <w:jc w:val="center"/>
        <w:rPr>
          <w:rFonts w:asciiTheme="minorEastAsia" w:eastAsiaTheme="minorEastAsia" w:hAnsiTheme="minorEastAsia"/>
          <w:sz w:val="30"/>
        </w:rPr>
      </w:pPr>
      <w:bookmarkStart w:id="90" w:name="_Toc516758904"/>
      <w:r>
        <w:rPr>
          <w:rFonts w:asciiTheme="minorEastAsia" w:eastAsiaTheme="minorEastAsia" w:hAnsiTheme="minorEastAsia" w:hint="eastAsia"/>
          <w:sz w:val="30"/>
        </w:rPr>
        <w:t>十、基金信息披露</w:t>
      </w:r>
      <w:bookmarkEnd w:id="90"/>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（一）保密义务</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1.非因基金管理人和基金托管人的原因导致保密信息被披露、泄露或公开；</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2.基金管理人和基金托管人为遵守和服从法院判决或裁定、仲裁裁决或中国证监会等监管机构的命令、决定所做出的信息披露或公开。</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（二）信息披露的内容</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投资资产支持证券的信息披露、基金投资国债期货的信息披露、中国证监会规定的其他信息。基金</w:t>
      </w:r>
      <w:r>
        <w:rPr>
          <w:rFonts w:asciiTheme="minorEastAsia" w:hAnsiTheme="minorEastAsia" w:cs="Arial" w:hint="eastAsia"/>
          <w:sz w:val="24"/>
        </w:rPr>
        <w:lastRenderedPageBreak/>
        <w:t>年度报告需经具有从事证券相关业务资格的会计师事务所审计后，方可披露。</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（三）基金托管人和基金管理人在信息披露中的职责和信息披露程序</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1.职责</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对于不需要基金托管人复核的信息，基金管理人在公告前应告知基金托管人。</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基金管理人和基金托管人应积极配合、互相监督，保证其履行按照法定方式和限时披露的义务。</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当出现下述情况时，基金管理人和基金托管人可暂停或延迟披露基金相关信息：</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（1）不可抗力；</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（2）基金投资所涉及的证券交易市场遇法定节假日或因其他原因暂停营业时；</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（3）发生暂停估值的情形；</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（4）法律法规、《基金合同》或中国证监会规定的情况。</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2.程序</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3.信息文本的存放</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346B7A" w:rsidRDefault="00346B7A">
      <w:pPr>
        <w:pStyle w:val="a0"/>
        <w:ind w:firstLineChars="0" w:firstLine="0"/>
        <w:rPr>
          <w:rFonts w:asciiTheme="minorEastAsia" w:eastAsiaTheme="minorEastAsia" w:hAnsiTheme="minorEastAsia" w:cs="Arial"/>
          <w:sz w:val="24"/>
        </w:rPr>
      </w:pPr>
    </w:p>
    <w:p w:rsidR="00346B7A" w:rsidRDefault="00C434A0">
      <w:pPr>
        <w:pStyle w:val="2"/>
        <w:jc w:val="center"/>
        <w:rPr>
          <w:rFonts w:asciiTheme="minorEastAsia" w:eastAsiaTheme="minorEastAsia" w:hAnsiTheme="minorEastAsia"/>
          <w:sz w:val="30"/>
        </w:rPr>
      </w:pPr>
      <w:bookmarkStart w:id="91" w:name="_Toc516758905"/>
      <w:r>
        <w:rPr>
          <w:rFonts w:asciiTheme="minorEastAsia" w:eastAsiaTheme="minorEastAsia" w:hAnsiTheme="minorEastAsia" w:hint="eastAsia"/>
          <w:sz w:val="30"/>
        </w:rPr>
        <w:lastRenderedPageBreak/>
        <w:t>十一、基金费用</w:t>
      </w:r>
      <w:bookmarkEnd w:id="91"/>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（一）基金管理费的计提比例和计提方法</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本基金的管理费按前一日基金资产净值的0.</w:t>
      </w:r>
      <w:r>
        <w:rPr>
          <w:rFonts w:asciiTheme="minorEastAsia" w:hAnsiTheme="minorEastAsia" w:cs="Arial"/>
          <w:sz w:val="24"/>
        </w:rPr>
        <w:t>3</w:t>
      </w:r>
      <w:r>
        <w:rPr>
          <w:rFonts w:asciiTheme="minorEastAsia" w:hAnsiTheme="minorEastAsia" w:cs="Arial" w:hint="eastAsia"/>
          <w:sz w:val="24"/>
        </w:rPr>
        <w:t>0%年费率计提。管理费的计算方法如下：</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H＝E×0.</w:t>
      </w:r>
      <w:r>
        <w:rPr>
          <w:rFonts w:asciiTheme="minorEastAsia" w:hAnsiTheme="minorEastAsia" w:cs="Arial"/>
          <w:sz w:val="24"/>
        </w:rPr>
        <w:t>3</w:t>
      </w:r>
      <w:r>
        <w:rPr>
          <w:rFonts w:asciiTheme="minorEastAsia" w:hAnsiTheme="minorEastAsia" w:cs="Arial" w:hint="eastAsia"/>
          <w:sz w:val="24"/>
        </w:rPr>
        <w:t>0%÷当年天数</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H为每日应计提的基金管理费</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E为前一日的基金资产净值</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（二）基金托管费的计提比例和计提方法</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本基金的托管费按前一日基金资产净值的0.</w:t>
      </w:r>
      <w:r>
        <w:rPr>
          <w:rFonts w:asciiTheme="minorEastAsia" w:hAnsiTheme="minorEastAsia" w:cs="Arial"/>
          <w:sz w:val="24"/>
        </w:rPr>
        <w:t>10</w:t>
      </w:r>
      <w:r>
        <w:rPr>
          <w:rFonts w:asciiTheme="minorEastAsia" w:hAnsiTheme="minorEastAsia" w:cs="Arial" w:hint="eastAsia"/>
          <w:sz w:val="24"/>
        </w:rPr>
        <w:t>%年费率计提。托管费的计算方法如下：</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H＝E×0.</w:t>
      </w:r>
      <w:r>
        <w:rPr>
          <w:rFonts w:asciiTheme="minorEastAsia" w:hAnsiTheme="minorEastAsia" w:cs="Arial"/>
          <w:sz w:val="24"/>
        </w:rPr>
        <w:t>10</w:t>
      </w:r>
      <w:r>
        <w:rPr>
          <w:rFonts w:asciiTheme="minorEastAsia" w:hAnsiTheme="minorEastAsia" w:cs="Arial" w:hint="eastAsia"/>
          <w:sz w:val="24"/>
        </w:rPr>
        <w:t>%÷当年天数</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H为每日应计提的基金托管费</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E为前一日的基金资产净值</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基金托管费每日计提，逐日累计至每月月末，按月支付。由基金托管人根据与基金管理人核对一致的财务数据，自动在月初</w:t>
      </w:r>
      <w:r>
        <w:rPr>
          <w:rFonts w:asciiTheme="minorEastAsia" w:hAnsiTheme="minorEastAsia" w:cs="Arial"/>
          <w:sz w:val="24"/>
        </w:rPr>
        <w:t>5</w:t>
      </w:r>
      <w:r>
        <w:rPr>
          <w:rFonts w:asciiTheme="minorEastAsia" w:hAnsiTheme="minorEastAsia" w:cs="Arial" w:hint="eastAsia"/>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（三）销售服务费</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本基金A类基金份额不收取销售服务费，C类基金份额的销售服务费年费率为0.</w:t>
      </w:r>
      <w:r>
        <w:rPr>
          <w:rFonts w:asciiTheme="minorEastAsia" w:hAnsiTheme="minorEastAsia" w:cs="Arial"/>
          <w:sz w:val="24"/>
        </w:rPr>
        <w:t>25</w:t>
      </w:r>
      <w:r>
        <w:rPr>
          <w:rFonts w:asciiTheme="minorEastAsia" w:hAnsiTheme="minorEastAsia" w:cs="Arial" w:hint="eastAsia"/>
          <w:sz w:val="24"/>
        </w:rPr>
        <w:t>0%。</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C类基金份额的销售服务费按前一日C类基金份额基金资产净值的</w:t>
      </w:r>
      <w:r>
        <w:rPr>
          <w:rFonts w:asciiTheme="minorEastAsia" w:hAnsiTheme="minorEastAsia" w:cs="Arial"/>
          <w:sz w:val="24"/>
        </w:rPr>
        <w:t>0.25%</w:t>
      </w:r>
      <w:r>
        <w:rPr>
          <w:rFonts w:asciiTheme="minorEastAsia" w:hAnsiTheme="minorEastAsia" w:cs="Arial" w:hint="eastAsia"/>
          <w:sz w:val="24"/>
        </w:rPr>
        <w:t>年费率计提。计算方法如下：</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H＝E×0.</w:t>
      </w:r>
      <w:r>
        <w:rPr>
          <w:rFonts w:asciiTheme="minorEastAsia" w:hAnsiTheme="minorEastAsia" w:cs="Arial"/>
          <w:sz w:val="24"/>
        </w:rPr>
        <w:t>25</w:t>
      </w:r>
      <w:r>
        <w:rPr>
          <w:rFonts w:asciiTheme="minorEastAsia" w:hAnsiTheme="minorEastAsia" w:cs="Arial" w:hint="eastAsia"/>
          <w:sz w:val="24"/>
        </w:rPr>
        <w:t>%÷当年天数</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lastRenderedPageBreak/>
        <w:t>H为C类基金份额每日应计提的销售服务费</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E为C类基金份额前一日基金资产净值</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销售服务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销售服务费主要用于支付销售机构佣金、以及基金管理人的基金行销广告费、促销活动费、基金份额持有人服务费等。</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销售服务费不包括基金募集期间的上述费用。</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四）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（五）不列入基金费用的项目</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合同》生效前的相关费用（包括但不限于律师费、会计师费和信息披露费用等费用），基金管理人和基金托管人因未履行或未完全履行义务导致的费用支出或基金财产的损失，处理与基金运作无关的事项发生的费用，以及其他根据相关法律法规及中国证监会的有关规定不得列入基金费用的，不列入基金费用。</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（六）基金管理费、基金托管费和销售服务费的调整</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和基金托管人可协商酌情调整基金管理费和基金托管费率或调高销售服务费率，此项调整须经基金份额持有人大会决议通过，调低销售服务费无需基金份额持有人大会决议通过。基金管理人依照《信息披露办法》的有关规定在指定媒介上刊登公告。</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（七）基金管理费和基金托管费的复核程序、支付方式和时间</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1.复核程序</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基金托管人对基金管理人计提的基金管理费和基金托管费等，根据本托管协议和《基金合同》的有关规定进行复核。</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2.支付方式和时间</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基金管理费、基金托管费每日计提，逐日累计至每月月末，按月支付。由基</w:t>
      </w:r>
      <w:r>
        <w:rPr>
          <w:rFonts w:asciiTheme="minorEastAsia" w:hAnsiTheme="minorEastAsia" w:cs="Arial" w:hint="eastAsia"/>
          <w:sz w:val="24"/>
        </w:rPr>
        <w:lastRenderedPageBreak/>
        <w:t>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（八）违规处理方式</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46B7A" w:rsidRDefault="00C434A0">
      <w:pPr>
        <w:pStyle w:val="2"/>
        <w:jc w:val="center"/>
        <w:rPr>
          <w:rFonts w:asciiTheme="minorEastAsia" w:eastAsiaTheme="minorEastAsia" w:hAnsiTheme="minorEastAsia"/>
          <w:sz w:val="30"/>
        </w:rPr>
      </w:pPr>
      <w:bookmarkStart w:id="92" w:name="_Toc516758906"/>
      <w:r>
        <w:rPr>
          <w:rFonts w:asciiTheme="minorEastAsia" w:eastAsiaTheme="minorEastAsia" w:hAnsiTheme="minorEastAsia" w:hint="eastAsia"/>
          <w:sz w:val="30"/>
        </w:rPr>
        <w:t>十二、基金份额持有人名册的保管</w:t>
      </w:r>
      <w:bookmarkEnd w:id="92"/>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在基金托管人要求或编制半年报和年报前，基金管理人应将有关资料送交基金托管人，不得无故拒绝或延误提供，并保证其真实性、准确性和完整性。</w:t>
      </w:r>
      <w:r>
        <w:rPr>
          <w:rFonts w:asciiTheme="minorEastAsia" w:hAnsiTheme="minorEastAsia" w:hint="eastAsia"/>
          <w:kern w:val="0"/>
          <w:sz w:val="24"/>
        </w:rPr>
        <w:t>基金托管人不得将所保管的基金份额持有人名册用于基金托管业务以外的其他用途，并应遵守保密义务。</w:t>
      </w:r>
    </w:p>
    <w:p w:rsidR="00346B7A" w:rsidRDefault="00C434A0">
      <w:pPr>
        <w:pStyle w:val="2"/>
        <w:jc w:val="center"/>
        <w:rPr>
          <w:rFonts w:asciiTheme="minorEastAsia" w:eastAsiaTheme="minorEastAsia" w:hAnsiTheme="minorEastAsia"/>
          <w:sz w:val="30"/>
        </w:rPr>
      </w:pPr>
      <w:bookmarkStart w:id="93" w:name="_Toc516758907"/>
      <w:r>
        <w:rPr>
          <w:rFonts w:asciiTheme="minorEastAsia" w:eastAsiaTheme="minorEastAsia" w:hAnsiTheme="minorEastAsia" w:hint="eastAsia"/>
          <w:sz w:val="30"/>
        </w:rPr>
        <w:t>十三、基金有关文件档案的保存</w:t>
      </w:r>
      <w:bookmarkEnd w:id="93"/>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（一）档案保存</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法律法规或监管部门另有规定的，从其规定。</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（二）合同档案的建立</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lastRenderedPageBreak/>
        <w:t>1.基金管理人签署重大合同文本后，应及时将合同文本正本送达基金托管人处。</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2.基金管理人应及时将与本基金账务处理、资金划拨等有关的合同、协议传真基金托管人。</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（三）变更与协助</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若基金管理人/基金托管人发生变更，未变更的一方有义务协助变更后的接任人接收相应文件。</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（四）基金管理人和基金托管人应按各自职责完整保存原始凭证、记账凭证、基金账册、交易记录和重要合同等，承担保密义务并保存至少15年，法律法规或监管部门另有规定的，从其规定。</w:t>
      </w:r>
    </w:p>
    <w:p w:rsidR="00346B7A" w:rsidRDefault="00C434A0">
      <w:pPr>
        <w:pStyle w:val="2"/>
        <w:jc w:val="center"/>
        <w:rPr>
          <w:rFonts w:asciiTheme="minorEastAsia" w:eastAsiaTheme="minorEastAsia" w:hAnsiTheme="minorEastAsia"/>
          <w:sz w:val="30"/>
        </w:rPr>
      </w:pPr>
      <w:bookmarkStart w:id="94" w:name="_Toc516758908"/>
      <w:r>
        <w:rPr>
          <w:rFonts w:asciiTheme="minorEastAsia" w:eastAsiaTheme="minorEastAsia" w:hAnsiTheme="minorEastAsia" w:hint="eastAsia"/>
          <w:sz w:val="30"/>
        </w:rPr>
        <w:t>十四、基金管理人和基金托管人的更换</w:t>
      </w:r>
      <w:bookmarkEnd w:id="94"/>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（一）基金管理人职责终止的情形</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1.基金管理人职责终止的情形</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有下列情形之一的，基金管理人职责终止：</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1）被依法取消基金管理资格；</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2）依法解散、被依法撤销或被依法宣告破产；</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3）被基金份额持有人大会解任；</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4）法律法规及中国证监会规定的和《基金合同》约定的其他情形。</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2.基金管理人的更换程序</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更换基金管理人必须依照如下程序进行：</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1）提名：新任基金管理人由基金托管人</w:t>
      </w:r>
      <w:r w:rsidRPr="00F840E7">
        <w:rPr>
          <w:rFonts w:asciiTheme="minorEastAsia" w:hAnsiTheme="minorEastAsia" w:hint="eastAsia"/>
          <w:sz w:val="24"/>
          <w:szCs w:val="24"/>
        </w:rPr>
        <w:t>或由单独或合计持有</w:t>
      </w:r>
      <w:r w:rsidRPr="00F840E7">
        <w:rPr>
          <w:rFonts w:asciiTheme="minorEastAsia" w:hAnsiTheme="minorEastAsia"/>
          <w:sz w:val="24"/>
          <w:szCs w:val="24"/>
        </w:rPr>
        <w:t>10%以上（含10%）基金份额的基金份额持有人</w:t>
      </w:r>
      <w:r w:rsidRPr="00F840E7">
        <w:rPr>
          <w:rFonts w:asciiTheme="minorEastAsia" w:hAnsiTheme="minorEastAsia" w:cs="Arial" w:hint="eastAsia"/>
          <w:sz w:val="24"/>
          <w:szCs w:val="24"/>
        </w:rPr>
        <w:t>提名；</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2）决议：基金份额持有人大会在基金管理人职责终止后6个月内对被提名的基金管理人形成决议，该决议需经参加大会的基金份额持有人所持表决权的三分之二以上（含三分之二）表决通过，自表决通过之日起生效，新任基金管理人应当符合法律法规及中国证监会规定的资格条件；</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3）临时基金管理人：新任基金管理人产生之前，由中国证监会指定临时基金管理人；</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lastRenderedPageBreak/>
        <w:t>（</w:t>
      </w:r>
      <w:r w:rsidRPr="00F840E7">
        <w:rPr>
          <w:rFonts w:asciiTheme="minorEastAsia" w:hAnsiTheme="minorEastAsia" w:cs="Arial"/>
          <w:sz w:val="24"/>
          <w:szCs w:val="24"/>
        </w:rPr>
        <w:t>4）备案：基金份额持有人大会选任基金管理人的决议须报中国证监会备案；</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5）公告：基金管理人更换后，由基金托管人在更换基金管理人的基金份额持有人大会决议生效后依照《信息披露办法》的有关规定在指定媒介公告；</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7）审计：基金管理人职责终止的，应当按照法律法规规定聘请会计师事务所对基金财产进行审计，并将审计结果予以公告，同时报中国证监会备案；审计费用由基金资产承担；</w:t>
      </w:r>
    </w:p>
    <w:p w:rsidR="00346B7A" w:rsidRPr="00F840E7" w:rsidRDefault="00C434A0" w:rsidP="00F840E7">
      <w:pPr>
        <w:adjustRightInd w:val="0"/>
        <w:snapToGrid w:val="0"/>
        <w:spacing w:line="360" w:lineRule="auto"/>
        <w:ind w:firstLineChars="200" w:firstLine="480"/>
        <w:rPr>
          <w:rFonts w:asciiTheme="minorEastAsia" w:hAnsiTheme="minorEastAsia"/>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8）基金名称变更：基金管理人更换后，如果原任或新任基金管理人要求，应按其要求替换或删除基金名称中与原基金管理人有关的名称字样。</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（二）基金托管人职责终止的情形</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1.基金托管人职责终止的情形</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有下列情形之一的，基金托管人职责终止：</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1）被依法取消基金托管资格；</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2）依法解散、被依法撤销或被依法宣告破产；</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3）被基金份额持有人大会解任；</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4）法律法规及中国证监会规定的和《基金合同》约定的其他情形。</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2.基金托管人的更换程序</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1）提名：新任基金托管人由基金管理人</w:t>
      </w:r>
      <w:r w:rsidRPr="00F840E7">
        <w:rPr>
          <w:rFonts w:asciiTheme="minorEastAsia" w:hAnsiTheme="minorEastAsia" w:hint="eastAsia"/>
          <w:sz w:val="24"/>
          <w:szCs w:val="24"/>
        </w:rPr>
        <w:t>或由单独或合计持有</w:t>
      </w:r>
      <w:r w:rsidRPr="00F840E7">
        <w:rPr>
          <w:rFonts w:asciiTheme="minorEastAsia" w:hAnsiTheme="minorEastAsia"/>
          <w:sz w:val="24"/>
          <w:szCs w:val="24"/>
        </w:rPr>
        <w:t>10%以上（含10%）基金份额的基金份额持有人</w:t>
      </w:r>
      <w:r w:rsidRPr="00F840E7">
        <w:rPr>
          <w:rFonts w:asciiTheme="minorEastAsia" w:hAnsiTheme="minorEastAsia" w:cs="Arial" w:hint="eastAsia"/>
          <w:sz w:val="24"/>
          <w:szCs w:val="24"/>
        </w:rPr>
        <w:t>提名；</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2）决议：基金份额持有人大会在基金托管人职责终止后6个月内对被提名的基金托管人形成决议，该决议需经参加大会的基金份额持有人所持表决权的三分之二以上（含三分之二）表决通过，自表决通过之日起生效，新任基金托管人应当符合法律法规及中国证监会规定的资格条件；</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3）临时基金托管人：新任基金托管人产生之前，由中国证监会指定临时基金托管人；</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4）备案：基金份额持有人大会更换基金托管人的决议须报中国证监会备案；</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5）公告：基金托管人更换后，由基金管理人在更换基金托管人的基金份额</w:t>
      </w:r>
      <w:r w:rsidRPr="00F840E7">
        <w:rPr>
          <w:rFonts w:asciiTheme="minorEastAsia" w:hAnsiTheme="minorEastAsia" w:cs="Arial"/>
          <w:sz w:val="24"/>
          <w:szCs w:val="24"/>
        </w:rPr>
        <w:lastRenderedPageBreak/>
        <w:t>持有人大会决议生效后依照《信息披露办法》的有关规定在指定媒介公告；</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7）审计：原基金托管人职责终止的，应当按照法律法规规定聘请会计师事务所对基金财产进行审计，并将审计结果予以公告，同时报中国证监会备案；</w:t>
      </w:r>
      <w:r w:rsidRPr="00F840E7">
        <w:rPr>
          <w:rFonts w:ascii="宋体" w:hAnsi="宋体" w:hint="eastAsia"/>
          <w:bCs/>
          <w:sz w:val="24"/>
          <w:szCs w:val="24"/>
        </w:rPr>
        <w:t>审计费用由基金资产承担</w:t>
      </w:r>
      <w:r w:rsidRPr="00F840E7">
        <w:rPr>
          <w:rFonts w:asciiTheme="minorEastAsia" w:hAnsiTheme="minorEastAsia" w:cs="Arial" w:hint="eastAsia"/>
          <w:sz w:val="24"/>
          <w:szCs w:val="24"/>
        </w:rPr>
        <w:t>。</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（三）基金管理人与基金托管人同时更换的条件和程序</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1.提名：如果基金管理人和基金托管人同时更换，由单独或合计持有基金总份额10%以上（含10%）的基金份额持有人提名新的基金管理人和基金托管人；</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2.基金管理人和基金托管人的更换分别按上述程序进行；</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3.公告：新任基金管理人和新任基金托管人应在更换基金管理人和基金托管人的基金份额持有人大会决议生效后依照《信息披露办法》的有关规定在指定媒介上联合公告。</w:t>
      </w:r>
    </w:p>
    <w:p w:rsidR="00346B7A" w:rsidRDefault="00C434A0" w:rsidP="00F840E7">
      <w:pPr>
        <w:adjustRightInd w:val="0"/>
        <w:snapToGrid w:val="0"/>
        <w:spacing w:line="360" w:lineRule="auto"/>
        <w:ind w:firstLineChars="200" w:firstLine="480"/>
        <w:rPr>
          <w:rFonts w:asciiTheme="minorEastAsia" w:hAnsiTheme="minorEastAsia" w:cs="Arial"/>
          <w:sz w:val="24"/>
        </w:rPr>
      </w:pPr>
      <w:r w:rsidRPr="00F840E7">
        <w:rPr>
          <w:rFonts w:asciiTheme="minorEastAsia" w:hAnsiTheme="minorEastAsia"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rsidR="00346B7A" w:rsidRDefault="00C434A0">
      <w:pPr>
        <w:pStyle w:val="2"/>
        <w:jc w:val="center"/>
        <w:rPr>
          <w:rFonts w:asciiTheme="minorEastAsia" w:eastAsiaTheme="minorEastAsia" w:hAnsiTheme="minorEastAsia"/>
          <w:sz w:val="30"/>
        </w:rPr>
      </w:pPr>
      <w:bookmarkStart w:id="95" w:name="_Toc516758909"/>
      <w:r>
        <w:rPr>
          <w:rFonts w:asciiTheme="minorEastAsia" w:eastAsiaTheme="minorEastAsia" w:hAnsiTheme="minorEastAsia" w:hint="eastAsia"/>
          <w:sz w:val="30"/>
        </w:rPr>
        <w:t>十五、禁止行为</w:t>
      </w:r>
      <w:bookmarkEnd w:id="95"/>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本协议当事人禁止从事的行为，包括但不限于：</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（一）基金管理人、基金托管人将其固有财产或者他人财产混同于基金财产从事证券投资。</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（二）基金管理人不公平地对待其管理的不同基金财产，基金托管人不公平地对待其托管的不同基金财产。</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（三）基金管理人、基金托管人利用基金财产为基金份额持有人以外的第三人牟取利益。</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lastRenderedPageBreak/>
        <w:t>（四）基金管理人、基金托管人向基金份额持有人违规承诺收益或者承担损失。</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（五）基金管理人、基金托管人对他人泄漏基金运作和管理过程中任何尚未按法律法规规定的方式公开披露的信息。</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（六）基金管理人在没有充足资金的情况下向基金托管人发出投资指令和赎回、分红资金的划拨指令，或违规向基金托管人发出指令。</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（七）基金管理人、基金托管人在行政上、财务上不独立，其高级管理人员和其他从业人员相互兼职。</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（八）基金托管人私自动用或处分基金财产，根据基金管理人的合法指令、《基金合同》或托管协议的规定进行处分的除外。</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九）基金财产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如适用于本基金，则本基金投资不再受相关限制。</w:t>
      </w:r>
    </w:p>
    <w:p w:rsidR="00346B7A" w:rsidRDefault="00C434A0" w:rsidP="00F840E7">
      <w:pPr>
        <w:adjustRightInd w:val="0"/>
        <w:snapToGrid w:val="0"/>
        <w:spacing w:line="360" w:lineRule="auto"/>
        <w:ind w:firstLineChars="200" w:firstLine="480"/>
        <w:rPr>
          <w:rFonts w:asciiTheme="minorEastAsia" w:hAnsiTheme="minorEastAsia"/>
          <w:sz w:val="30"/>
          <w:szCs w:val="30"/>
        </w:rPr>
      </w:pPr>
      <w:r>
        <w:rPr>
          <w:rFonts w:asciiTheme="minorEastAsia" w:hAnsiTheme="minorEastAsia" w:cs="Arial" w:hint="eastAsia"/>
          <w:sz w:val="24"/>
        </w:rPr>
        <w:t>（十）法律法规和《基金合同》禁止的其他行为，以及依照法律、行政法规有关规定，由国务院证券监督管理机构规定禁止基金管理人、基金托管人从事的其他行为。</w:t>
      </w:r>
    </w:p>
    <w:p w:rsidR="00346B7A" w:rsidRDefault="00C434A0">
      <w:pPr>
        <w:pStyle w:val="2"/>
        <w:jc w:val="center"/>
        <w:rPr>
          <w:rFonts w:asciiTheme="minorEastAsia" w:eastAsiaTheme="minorEastAsia" w:hAnsiTheme="minorEastAsia"/>
          <w:sz w:val="30"/>
        </w:rPr>
      </w:pPr>
      <w:bookmarkStart w:id="96" w:name="_Toc516758910"/>
      <w:r>
        <w:rPr>
          <w:rFonts w:asciiTheme="minorEastAsia" w:eastAsiaTheme="minorEastAsia" w:hAnsiTheme="minorEastAsia" w:hint="eastAsia"/>
          <w:sz w:val="30"/>
        </w:rPr>
        <w:t>十六、托管协议的变更、终止与基金财产的清算</w:t>
      </w:r>
      <w:bookmarkEnd w:id="96"/>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（一）托管协议的变更程序</w:t>
      </w:r>
    </w:p>
    <w:p w:rsidR="00346B7A" w:rsidRPr="00F840E7" w:rsidRDefault="00C434A0" w:rsidP="00F840E7">
      <w:pPr>
        <w:adjustRightInd w:val="0"/>
        <w:snapToGrid w:val="0"/>
        <w:spacing w:line="360" w:lineRule="auto"/>
        <w:ind w:firstLineChars="200" w:firstLine="480"/>
        <w:rPr>
          <w:rFonts w:asciiTheme="minorEastAsia" w:hAnsiTheme="minorEastAsia"/>
          <w:sz w:val="24"/>
          <w:szCs w:val="24"/>
        </w:rPr>
      </w:pPr>
      <w:r w:rsidRPr="00F840E7">
        <w:rPr>
          <w:rFonts w:asciiTheme="minorEastAsia" w:hAnsiTheme="minorEastAsia" w:cs="Arial" w:hint="eastAsia"/>
          <w:sz w:val="24"/>
          <w:szCs w:val="24"/>
        </w:rPr>
        <w:t>本协议双方当事人经协商一致，可以对协议进行修改。修改后的新协议，其内容不得与《基金合同》的规定有任何冲突。基金托管协议的变更报中国证监会备案。</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（二）托管协议终止的情形</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1.《基金合同》终止；</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2.基金托管人解散、依法被撤销、破产或由其他基金托管人接管基金资产；</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3.基金管理人解散、依法被撤销、破产或由其他基金管理人接管基金管理权；</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lastRenderedPageBreak/>
        <w:t>4.发生法律法规或《基金合同》规定的终止事项。</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（三）基金财产的清算</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1.基金财产清算小组：基金合同终止事由出现后，基金管理人组织基金财产清算小组并在中国证监会的监督下进行基金清算。</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3.在基金财产清算过程中，基金管理人和基金托管人应各自履行职责，继续忠实、勤勉、尽责地履行基金合同和托管协议规定的义务，维护基金份额持有人的合法权益。</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4.基金财产清算小组职责：基金财产清算小组负责基金财产的保管、清理、估价、变现和分配。基金财产清算小组可以依法进行必要的民事活动。</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5.基金财产清算程序：</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1）《基金合同》终止情形出现时，由基金财产清算小组统一接管基金；</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2）对基金财产和债权债务进行清理和确认；</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3）对基金财产进行估值和变现；</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4）制作清算报告；</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5）聘请会计师事务所对清算报告进行外部审计，聘请律师事务所对清算报告出具法律意见书；</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6）将清算报告报中国证监会备案并公告；</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w:t>
      </w:r>
      <w:r w:rsidRPr="00F840E7">
        <w:rPr>
          <w:rFonts w:asciiTheme="minorEastAsia" w:hAnsiTheme="minorEastAsia" w:cs="Arial"/>
          <w:sz w:val="24"/>
          <w:szCs w:val="24"/>
        </w:rPr>
        <w:t>7）对基金剩余财产进行分配。</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6.基金财产清算的期限为6</w:t>
      </w:r>
      <w:r w:rsidRPr="00F840E7">
        <w:rPr>
          <w:rFonts w:asciiTheme="minorEastAsia" w:hAnsiTheme="minorEastAsia" w:cs="Arial" w:hint="eastAsia"/>
          <w:sz w:val="24"/>
          <w:szCs w:val="24"/>
        </w:rPr>
        <w:t>个月。</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基金管理人应在</w:t>
      </w:r>
      <w:r w:rsidRPr="00F840E7">
        <w:rPr>
          <w:rFonts w:asciiTheme="minorEastAsia" w:hAnsiTheme="minorEastAsia" w:cs="Arial"/>
          <w:sz w:val="24"/>
          <w:szCs w:val="24"/>
        </w:rPr>
        <w:t>6个月内办理基金财产的清算事宜，基金财产清算小组可根据基金财产的情况确定清算期限；在特殊情况下，若截至清算期限届满日，本基金仍持有流通受限证券的（包括但不限于未到期回购等），基金管理人可在该等证券可流通后进行二次清算。本基金的清算期限自动顺延至全部基金财产清算完毕之日。</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w:t>
      </w:r>
      <w:r w:rsidRPr="00F840E7">
        <w:rPr>
          <w:rFonts w:asciiTheme="minorEastAsia" w:hAnsiTheme="minorEastAsia" w:cs="Arial" w:hint="eastAsia"/>
          <w:sz w:val="24"/>
          <w:szCs w:val="24"/>
        </w:rPr>
        <w:lastRenderedPageBreak/>
        <w:t>法规或监管部门的要求办理。</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7.清算费用</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清算费用是指基金财产清算小组在进行基金清算过程中发生的所有合理费用，清算费用由基金财产清算小组优先从基金剩余财产中支付。</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8.基金财产清算剩余资产的分配：</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9.基金财产清算的公告</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清算过程中的有关重大事项须及时公告；基金财产清算报告经会计师事务所审计，律师事务所出具法律意见书后，由基金财产清算小组报中国证监会备案并公告。</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sz w:val="24"/>
          <w:szCs w:val="24"/>
        </w:rPr>
        <w:t>10.基金财产清算账册及文件的保存</w:t>
      </w:r>
    </w:p>
    <w:p w:rsidR="00346B7A" w:rsidRDefault="00C434A0" w:rsidP="00F840E7">
      <w:pPr>
        <w:adjustRightInd w:val="0"/>
        <w:snapToGrid w:val="0"/>
        <w:spacing w:line="360" w:lineRule="auto"/>
        <w:ind w:firstLineChars="200" w:firstLine="480"/>
        <w:rPr>
          <w:rFonts w:asciiTheme="minorEastAsia" w:hAnsiTheme="minorEastAsia" w:cs="Arial"/>
          <w:sz w:val="24"/>
        </w:rPr>
      </w:pPr>
      <w:r w:rsidRPr="00F840E7">
        <w:rPr>
          <w:rFonts w:asciiTheme="minorEastAsia" w:hAnsiTheme="minorEastAsia" w:cs="Arial" w:hint="eastAsia"/>
          <w:sz w:val="24"/>
          <w:szCs w:val="24"/>
        </w:rPr>
        <w:t>基金财产清算账册及有关文件由基金托管人保存至少</w:t>
      </w:r>
      <w:r w:rsidRPr="00F840E7">
        <w:rPr>
          <w:rFonts w:asciiTheme="minorEastAsia" w:hAnsiTheme="minorEastAsia" w:cs="Arial"/>
          <w:sz w:val="24"/>
          <w:szCs w:val="24"/>
        </w:rPr>
        <w:t>15年。</w:t>
      </w:r>
    </w:p>
    <w:p w:rsidR="00346B7A" w:rsidRDefault="00C434A0">
      <w:pPr>
        <w:pStyle w:val="2"/>
        <w:jc w:val="center"/>
        <w:rPr>
          <w:rFonts w:asciiTheme="minorEastAsia" w:eastAsiaTheme="minorEastAsia" w:hAnsiTheme="minorEastAsia"/>
          <w:sz w:val="30"/>
        </w:rPr>
      </w:pPr>
      <w:bookmarkStart w:id="97" w:name="_Toc516758911"/>
      <w:r>
        <w:rPr>
          <w:rFonts w:asciiTheme="minorEastAsia" w:eastAsiaTheme="minorEastAsia" w:hAnsiTheme="minorEastAsia" w:hint="eastAsia"/>
          <w:sz w:val="30"/>
        </w:rPr>
        <w:t>十七、违约责任</w:t>
      </w:r>
      <w:bookmarkEnd w:id="97"/>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（一）基金管理人、基金托管人不履行本协议或履行本协议不符合约定的，应当承担违约责任。</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1.不可抗力；</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2.基金管理人、基金托管人按照当时有效的法律法规或中国证监会的规定作为或不作为而造成的损失等；</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3.基金管理人由于按照《基金合同》规定的投资原则投资或不投资造成的直</w:t>
      </w:r>
      <w:r>
        <w:rPr>
          <w:rFonts w:asciiTheme="minorEastAsia" w:hAnsiTheme="minorEastAsia" w:cs="Arial" w:hint="eastAsia"/>
          <w:sz w:val="24"/>
        </w:rPr>
        <w:lastRenderedPageBreak/>
        <w:t>接损失或潜在损失等；</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4.非因基金管理人、基金托管人的故意或重大过失造成的计算机系统故障、网络故障、通讯故障、电力故障、计算机病毒攻击及其它意外事故所导致的损失等。</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46B7A" w:rsidRDefault="00C434A0">
      <w:pPr>
        <w:pStyle w:val="2"/>
        <w:jc w:val="center"/>
        <w:rPr>
          <w:rFonts w:asciiTheme="minorEastAsia" w:eastAsiaTheme="minorEastAsia" w:hAnsiTheme="minorEastAsia"/>
          <w:sz w:val="30"/>
        </w:rPr>
      </w:pPr>
      <w:bookmarkStart w:id="98" w:name="_Toc516758912"/>
      <w:r>
        <w:rPr>
          <w:rFonts w:asciiTheme="minorEastAsia" w:eastAsiaTheme="minorEastAsia" w:hAnsiTheme="minorEastAsia" w:hint="eastAsia"/>
          <w:sz w:val="30"/>
        </w:rPr>
        <w:t>十八、争议解决方式</w:t>
      </w:r>
      <w:bookmarkEnd w:id="98"/>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本协议受中国法律管辖。</w:t>
      </w:r>
    </w:p>
    <w:p w:rsidR="00346B7A" w:rsidRDefault="00C434A0">
      <w:pPr>
        <w:pStyle w:val="2"/>
        <w:jc w:val="center"/>
        <w:rPr>
          <w:rFonts w:asciiTheme="minorEastAsia" w:eastAsiaTheme="minorEastAsia" w:hAnsiTheme="minorEastAsia"/>
          <w:sz w:val="30"/>
        </w:rPr>
      </w:pPr>
      <w:bookmarkStart w:id="99" w:name="_Toc516758913"/>
      <w:r>
        <w:rPr>
          <w:rFonts w:asciiTheme="minorEastAsia" w:eastAsiaTheme="minorEastAsia" w:hAnsiTheme="minorEastAsia" w:hint="eastAsia"/>
          <w:sz w:val="30"/>
        </w:rPr>
        <w:t>十九、托管协议的效力</w:t>
      </w:r>
      <w:bookmarkEnd w:id="99"/>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双方对托管协议的效力约定如下：</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（一）基金管理人在向中国证监会申请发售基金份额时提交的托管协议草案，应经托管协议当事人双方盖章以及双方法定代表人或授权代表签字（或盖章），协</w:t>
      </w:r>
      <w:r w:rsidRPr="00F840E7">
        <w:rPr>
          <w:rFonts w:asciiTheme="minorEastAsia" w:hAnsiTheme="minorEastAsia" w:cs="Arial" w:hint="eastAsia"/>
          <w:sz w:val="24"/>
          <w:szCs w:val="24"/>
        </w:rPr>
        <w:lastRenderedPageBreak/>
        <w:t>议当事人双方根据中国证监会的意见修改托管协议草案。托管协议以中国证监会注册的文本为正式文本。</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（二）托管协议自《基金合同》成立之日起成立，自《基金合同》生效之日起生效。托管协议的有效期自其生效之日起至基金财产清算结果报中国证监会备案并公告之日止。</w:t>
      </w:r>
    </w:p>
    <w:p w:rsidR="00346B7A" w:rsidRPr="00F840E7" w:rsidRDefault="00C434A0" w:rsidP="00F840E7">
      <w:pPr>
        <w:adjustRightInd w:val="0"/>
        <w:snapToGrid w:val="0"/>
        <w:spacing w:line="360" w:lineRule="auto"/>
        <w:ind w:firstLineChars="200" w:firstLine="480"/>
        <w:rPr>
          <w:rFonts w:asciiTheme="minorEastAsia" w:hAnsiTheme="minorEastAsia" w:cs="Arial"/>
          <w:sz w:val="24"/>
          <w:szCs w:val="24"/>
        </w:rPr>
      </w:pPr>
      <w:r w:rsidRPr="00F840E7">
        <w:rPr>
          <w:rFonts w:asciiTheme="minorEastAsia" w:hAnsiTheme="minorEastAsia" w:cs="Arial" w:hint="eastAsia"/>
          <w:sz w:val="24"/>
          <w:szCs w:val="24"/>
        </w:rPr>
        <w:t>（三）托管协议自生效之日起对托管协议当事人具有同等的法律约束力。</w:t>
      </w:r>
    </w:p>
    <w:p w:rsidR="00346B7A" w:rsidRDefault="00C434A0" w:rsidP="00F840E7">
      <w:pPr>
        <w:adjustRightInd w:val="0"/>
        <w:snapToGrid w:val="0"/>
        <w:spacing w:line="360" w:lineRule="auto"/>
        <w:ind w:firstLineChars="200" w:firstLine="480"/>
        <w:rPr>
          <w:rFonts w:asciiTheme="minorEastAsia" w:hAnsiTheme="minorEastAsia" w:cs="Arial"/>
          <w:sz w:val="24"/>
        </w:rPr>
      </w:pPr>
      <w:r w:rsidRPr="00F840E7">
        <w:rPr>
          <w:rFonts w:asciiTheme="minorEastAsia" w:hAnsiTheme="minorEastAsia" w:cs="Arial" w:hint="eastAsia"/>
          <w:sz w:val="24"/>
          <w:szCs w:val="24"/>
        </w:rPr>
        <w:t>（四）本协议一式三份，协议双方各持一份，上报监管机构一份，每份具有同等的法律效力。</w:t>
      </w:r>
    </w:p>
    <w:p w:rsidR="00346B7A" w:rsidRDefault="00C434A0">
      <w:pPr>
        <w:pStyle w:val="2"/>
        <w:jc w:val="center"/>
        <w:rPr>
          <w:rFonts w:asciiTheme="minorEastAsia" w:eastAsiaTheme="minorEastAsia" w:hAnsiTheme="minorEastAsia"/>
          <w:sz w:val="30"/>
        </w:rPr>
      </w:pPr>
      <w:bookmarkStart w:id="100" w:name="_Toc516758914"/>
      <w:r>
        <w:rPr>
          <w:rFonts w:asciiTheme="minorEastAsia" w:eastAsiaTheme="minorEastAsia" w:hAnsiTheme="minorEastAsia" w:hint="eastAsia"/>
          <w:sz w:val="30"/>
        </w:rPr>
        <w:t>二十、其他事项</w:t>
      </w:r>
      <w:bookmarkEnd w:id="100"/>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如发生有权司法机关依法冻结基金份额持有人的基金份额时，基金管理人应予以配合，承担司法协助义务。</w:t>
      </w:r>
    </w:p>
    <w:p w:rsidR="00346B7A" w:rsidRDefault="00C434A0" w:rsidP="00F840E7">
      <w:pPr>
        <w:adjustRightInd w:val="0"/>
        <w:snapToGrid w:val="0"/>
        <w:spacing w:line="360" w:lineRule="auto"/>
        <w:ind w:firstLineChars="200" w:firstLine="480"/>
        <w:rPr>
          <w:rFonts w:asciiTheme="minorEastAsia" w:hAnsiTheme="minorEastAsia"/>
          <w:b/>
          <w:bCs/>
        </w:rPr>
      </w:pPr>
      <w:r>
        <w:rPr>
          <w:rFonts w:asciiTheme="minorEastAsia" w:hAnsiTheme="minorEastAsia" w:cs="Arial" w:hint="eastAsia"/>
          <w:sz w:val="24"/>
        </w:rPr>
        <w:t>除本协议有明确定义外，本协议的用语定义适用《基金合同》的约定。本协议未尽事宜，当事人依据《基金合同》、有关法律法规等规定协商办理。</w:t>
      </w:r>
    </w:p>
    <w:p w:rsidR="00346B7A" w:rsidRDefault="00C434A0">
      <w:pPr>
        <w:pStyle w:val="2"/>
        <w:jc w:val="center"/>
        <w:rPr>
          <w:rFonts w:asciiTheme="minorEastAsia" w:eastAsiaTheme="minorEastAsia" w:hAnsiTheme="minorEastAsia"/>
          <w:sz w:val="30"/>
        </w:rPr>
      </w:pPr>
      <w:bookmarkStart w:id="101" w:name="_Toc516758915"/>
      <w:r>
        <w:rPr>
          <w:rFonts w:asciiTheme="minorEastAsia" w:eastAsiaTheme="minorEastAsia" w:hAnsiTheme="minorEastAsia" w:hint="eastAsia"/>
          <w:sz w:val="30"/>
        </w:rPr>
        <w:t>二十一、托管协议的签订</w:t>
      </w:r>
      <w:bookmarkEnd w:id="101"/>
    </w:p>
    <w:p w:rsidR="00346B7A" w:rsidRDefault="00C434A0" w:rsidP="00F840E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本协议双方法定代表人或授权代表签章、签订地、签订日</w:t>
      </w:r>
    </w:p>
    <w:p w:rsidR="00346B7A" w:rsidRDefault="00346B7A">
      <w:pPr>
        <w:adjustRightInd w:val="0"/>
        <w:snapToGrid w:val="0"/>
      </w:pPr>
    </w:p>
    <w:sectPr w:rsidR="00346B7A">
      <w:headerReference w:type="default" r:id="rId10"/>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F37" w:rsidRDefault="00ED7F37">
      <w:r>
        <w:separator/>
      </w:r>
    </w:p>
  </w:endnote>
  <w:endnote w:type="continuationSeparator" w:id="0">
    <w:p w:rsidR="00ED7F37" w:rsidRDefault="00ED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7A" w:rsidRDefault="00C434A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46B7A" w:rsidRDefault="00346B7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7A" w:rsidRDefault="00C434A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21BED">
      <w:rPr>
        <w:rStyle w:val="ad"/>
        <w:noProof/>
      </w:rPr>
      <w:t>37</w:t>
    </w:r>
    <w:r>
      <w:rPr>
        <w:rStyle w:val="ad"/>
      </w:rPr>
      <w:fldChar w:fldCharType="end"/>
    </w:r>
  </w:p>
  <w:p w:rsidR="00346B7A" w:rsidRDefault="00346B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F37" w:rsidRDefault="00ED7F37">
      <w:r>
        <w:separator/>
      </w:r>
    </w:p>
  </w:footnote>
  <w:footnote w:type="continuationSeparator" w:id="0">
    <w:p w:rsidR="00ED7F37" w:rsidRDefault="00ED7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B7A" w:rsidRDefault="00C434A0">
    <w:pPr>
      <w:pStyle w:val="aa"/>
      <w:jc w:val="both"/>
    </w:pPr>
    <w:r>
      <w:rPr>
        <w:rFonts w:hint="eastAsia"/>
      </w:rPr>
      <w:t>银华安鑫短债债券型证券投资基金</w:t>
    </w:r>
    <w:r>
      <w:rPr>
        <w:rFonts w:hint="eastAsia"/>
      </w:rPr>
      <w:t xml:space="preserve"> </w:t>
    </w:r>
    <w:r>
      <w:t xml:space="preserve">                                                   </w:t>
    </w:r>
    <w:r w:rsidR="00321BED">
      <w:t xml:space="preserve">    </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F2"/>
    <w:rsid w:val="00002071"/>
    <w:rsid w:val="00010102"/>
    <w:rsid w:val="0001392C"/>
    <w:rsid w:val="0003308E"/>
    <w:rsid w:val="00061F43"/>
    <w:rsid w:val="0006474C"/>
    <w:rsid w:val="000711FE"/>
    <w:rsid w:val="00071598"/>
    <w:rsid w:val="00074127"/>
    <w:rsid w:val="00074934"/>
    <w:rsid w:val="00075791"/>
    <w:rsid w:val="0008585F"/>
    <w:rsid w:val="000B025E"/>
    <w:rsid w:val="000C67B9"/>
    <w:rsid w:val="000D3D4E"/>
    <w:rsid w:val="000E7D2D"/>
    <w:rsid w:val="000F100F"/>
    <w:rsid w:val="000F5F4D"/>
    <w:rsid w:val="00111439"/>
    <w:rsid w:val="0011270B"/>
    <w:rsid w:val="00132601"/>
    <w:rsid w:val="0013289E"/>
    <w:rsid w:val="001415DF"/>
    <w:rsid w:val="001430DA"/>
    <w:rsid w:val="001442FA"/>
    <w:rsid w:val="00165F51"/>
    <w:rsid w:val="00187288"/>
    <w:rsid w:val="00187745"/>
    <w:rsid w:val="001A144B"/>
    <w:rsid w:val="001A638A"/>
    <w:rsid w:val="001B3BE9"/>
    <w:rsid w:val="001C70BE"/>
    <w:rsid w:val="001D4436"/>
    <w:rsid w:val="001D463C"/>
    <w:rsid w:val="001D67E9"/>
    <w:rsid w:val="001F00AB"/>
    <w:rsid w:val="002005A7"/>
    <w:rsid w:val="00211044"/>
    <w:rsid w:val="00225868"/>
    <w:rsid w:val="00230943"/>
    <w:rsid w:val="00251BD9"/>
    <w:rsid w:val="0025635E"/>
    <w:rsid w:val="00263988"/>
    <w:rsid w:val="00263D98"/>
    <w:rsid w:val="002704BF"/>
    <w:rsid w:val="002744AD"/>
    <w:rsid w:val="00282B8E"/>
    <w:rsid w:val="0029155A"/>
    <w:rsid w:val="00292FD3"/>
    <w:rsid w:val="002A2AFB"/>
    <w:rsid w:val="002B09FB"/>
    <w:rsid w:val="002B4FFA"/>
    <w:rsid w:val="002C4F33"/>
    <w:rsid w:val="002D6948"/>
    <w:rsid w:val="002D6C63"/>
    <w:rsid w:val="002E6F8C"/>
    <w:rsid w:val="002E723B"/>
    <w:rsid w:val="002F0915"/>
    <w:rsid w:val="00311000"/>
    <w:rsid w:val="00321BED"/>
    <w:rsid w:val="00324EB6"/>
    <w:rsid w:val="00343DE7"/>
    <w:rsid w:val="00346B7A"/>
    <w:rsid w:val="0035543F"/>
    <w:rsid w:val="0036037E"/>
    <w:rsid w:val="00363989"/>
    <w:rsid w:val="00395115"/>
    <w:rsid w:val="003B5BC7"/>
    <w:rsid w:val="003B7C03"/>
    <w:rsid w:val="003C5853"/>
    <w:rsid w:val="003D0941"/>
    <w:rsid w:val="003D3D0C"/>
    <w:rsid w:val="003D4379"/>
    <w:rsid w:val="003E314D"/>
    <w:rsid w:val="003F3393"/>
    <w:rsid w:val="004104F3"/>
    <w:rsid w:val="004139C5"/>
    <w:rsid w:val="00424D34"/>
    <w:rsid w:val="0043297F"/>
    <w:rsid w:val="00436A78"/>
    <w:rsid w:val="00472B52"/>
    <w:rsid w:val="004774FB"/>
    <w:rsid w:val="00490940"/>
    <w:rsid w:val="0049486F"/>
    <w:rsid w:val="0049791B"/>
    <w:rsid w:val="004A175A"/>
    <w:rsid w:val="004A7FED"/>
    <w:rsid w:val="004B10C1"/>
    <w:rsid w:val="004D25FA"/>
    <w:rsid w:val="004E15FE"/>
    <w:rsid w:val="00507530"/>
    <w:rsid w:val="005268E8"/>
    <w:rsid w:val="00541625"/>
    <w:rsid w:val="00551608"/>
    <w:rsid w:val="00560AF1"/>
    <w:rsid w:val="00562A28"/>
    <w:rsid w:val="005741E4"/>
    <w:rsid w:val="00575665"/>
    <w:rsid w:val="00583836"/>
    <w:rsid w:val="005B137C"/>
    <w:rsid w:val="005B1567"/>
    <w:rsid w:val="005B1953"/>
    <w:rsid w:val="005D05BD"/>
    <w:rsid w:val="005E096A"/>
    <w:rsid w:val="005E5D03"/>
    <w:rsid w:val="006118ED"/>
    <w:rsid w:val="00621BD4"/>
    <w:rsid w:val="00624BC2"/>
    <w:rsid w:val="00643784"/>
    <w:rsid w:val="00651224"/>
    <w:rsid w:val="00655EA5"/>
    <w:rsid w:val="006775D2"/>
    <w:rsid w:val="00682A69"/>
    <w:rsid w:val="006914C2"/>
    <w:rsid w:val="006928D6"/>
    <w:rsid w:val="00696D4D"/>
    <w:rsid w:val="006A0348"/>
    <w:rsid w:val="006D19EF"/>
    <w:rsid w:val="006D4036"/>
    <w:rsid w:val="006F14FE"/>
    <w:rsid w:val="006F3E35"/>
    <w:rsid w:val="006F48E9"/>
    <w:rsid w:val="00701A99"/>
    <w:rsid w:val="00711F18"/>
    <w:rsid w:val="0071710E"/>
    <w:rsid w:val="00717885"/>
    <w:rsid w:val="00720352"/>
    <w:rsid w:val="0073598A"/>
    <w:rsid w:val="007418E1"/>
    <w:rsid w:val="00744FAF"/>
    <w:rsid w:val="0075567B"/>
    <w:rsid w:val="007644E3"/>
    <w:rsid w:val="00777AFC"/>
    <w:rsid w:val="00784D24"/>
    <w:rsid w:val="00787D5F"/>
    <w:rsid w:val="00791646"/>
    <w:rsid w:val="0079324E"/>
    <w:rsid w:val="007A440B"/>
    <w:rsid w:val="007B5560"/>
    <w:rsid w:val="007D2E0A"/>
    <w:rsid w:val="007D79EC"/>
    <w:rsid w:val="007F78BC"/>
    <w:rsid w:val="00803DFF"/>
    <w:rsid w:val="00817F51"/>
    <w:rsid w:val="00830CD2"/>
    <w:rsid w:val="00833929"/>
    <w:rsid w:val="00834A12"/>
    <w:rsid w:val="008651F2"/>
    <w:rsid w:val="00873B9D"/>
    <w:rsid w:val="0088230B"/>
    <w:rsid w:val="0088564D"/>
    <w:rsid w:val="00887984"/>
    <w:rsid w:val="008A27CD"/>
    <w:rsid w:val="008D482E"/>
    <w:rsid w:val="008E276F"/>
    <w:rsid w:val="008E35EE"/>
    <w:rsid w:val="008F35D1"/>
    <w:rsid w:val="00903E58"/>
    <w:rsid w:val="00906C57"/>
    <w:rsid w:val="009312B7"/>
    <w:rsid w:val="009426F7"/>
    <w:rsid w:val="00953E59"/>
    <w:rsid w:val="0095457B"/>
    <w:rsid w:val="009552CB"/>
    <w:rsid w:val="00971429"/>
    <w:rsid w:val="009A0B94"/>
    <w:rsid w:val="009A641C"/>
    <w:rsid w:val="009E2936"/>
    <w:rsid w:val="009E3A43"/>
    <w:rsid w:val="009F68E0"/>
    <w:rsid w:val="00A128FB"/>
    <w:rsid w:val="00A2117F"/>
    <w:rsid w:val="00A226EA"/>
    <w:rsid w:val="00A25C4C"/>
    <w:rsid w:val="00A43766"/>
    <w:rsid w:val="00A54D79"/>
    <w:rsid w:val="00A56CD2"/>
    <w:rsid w:val="00A6349C"/>
    <w:rsid w:val="00A63C5F"/>
    <w:rsid w:val="00A72311"/>
    <w:rsid w:val="00A82794"/>
    <w:rsid w:val="00AA134A"/>
    <w:rsid w:val="00AB054B"/>
    <w:rsid w:val="00AB5592"/>
    <w:rsid w:val="00AE5201"/>
    <w:rsid w:val="00AF522B"/>
    <w:rsid w:val="00B0335E"/>
    <w:rsid w:val="00B03428"/>
    <w:rsid w:val="00B05B0C"/>
    <w:rsid w:val="00B33788"/>
    <w:rsid w:val="00B37A82"/>
    <w:rsid w:val="00B51024"/>
    <w:rsid w:val="00B708C6"/>
    <w:rsid w:val="00B711C9"/>
    <w:rsid w:val="00B84A5C"/>
    <w:rsid w:val="00B87E73"/>
    <w:rsid w:val="00B90151"/>
    <w:rsid w:val="00B942BC"/>
    <w:rsid w:val="00BB19BC"/>
    <w:rsid w:val="00BC0878"/>
    <w:rsid w:val="00BC48FA"/>
    <w:rsid w:val="00BD27C8"/>
    <w:rsid w:val="00BE682C"/>
    <w:rsid w:val="00C0252E"/>
    <w:rsid w:val="00C11BDD"/>
    <w:rsid w:val="00C156B8"/>
    <w:rsid w:val="00C15B60"/>
    <w:rsid w:val="00C15EE0"/>
    <w:rsid w:val="00C41DBA"/>
    <w:rsid w:val="00C434A0"/>
    <w:rsid w:val="00C605FF"/>
    <w:rsid w:val="00C61CE6"/>
    <w:rsid w:val="00C758E2"/>
    <w:rsid w:val="00C95E70"/>
    <w:rsid w:val="00C979BF"/>
    <w:rsid w:val="00CA2AFD"/>
    <w:rsid w:val="00CB038B"/>
    <w:rsid w:val="00CE6B0C"/>
    <w:rsid w:val="00D12CDE"/>
    <w:rsid w:val="00D13879"/>
    <w:rsid w:val="00D15640"/>
    <w:rsid w:val="00D175D6"/>
    <w:rsid w:val="00D23B52"/>
    <w:rsid w:val="00D26A64"/>
    <w:rsid w:val="00D27AE1"/>
    <w:rsid w:val="00D36AEA"/>
    <w:rsid w:val="00D53D54"/>
    <w:rsid w:val="00D67964"/>
    <w:rsid w:val="00D71175"/>
    <w:rsid w:val="00D75131"/>
    <w:rsid w:val="00DB4F05"/>
    <w:rsid w:val="00DC5612"/>
    <w:rsid w:val="00DD0CCE"/>
    <w:rsid w:val="00DD103F"/>
    <w:rsid w:val="00DE6205"/>
    <w:rsid w:val="00DF0530"/>
    <w:rsid w:val="00DF1955"/>
    <w:rsid w:val="00E06C81"/>
    <w:rsid w:val="00E1589C"/>
    <w:rsid w:val="00E416F7"/>
    <w:rsid w:val="00E83B9E"/>
    <w:rsid w:val="00E85935"/>
    <w:rsid w:val="00E909C4"/>
    <w:rsid w:val="00E97C4C"/>
    <w:rsid w:val="00EA4042"/>
    <w:rsid w:val="00EB1BBB"/>
    <w:rsid w:val="00EC0906"/>
    <w:rsid w:val="00ED7F37"/>
    <w:rsid w:val="00EE6DBA"/>
    <w:rsid w:val="00EF5B2A"/>
    <w:rsid w:val="00EF7E82"/>
    <w:rsid w:val="00F033DC"/>
    <w:rsid w:val="00F10971"/>
    <w:rsid w:val="00F22FD3"/>
    <w:rsid w:val="00F235E9"/>
    <w:rsid w:val="00F252EA"/>
    <w:rsid w:val="00F34199"/>
    <w:rsid w:val="00F37871"/>
    <w:rsid w:val="00F40194"/>
    <w:rsid w:val="00F43F36"/>
    <w:rsid w:val="00F53877"/>
    <w:rsid w:val="00F54769"/>
    <w:rsid w:val="00F57454"/>
    <w:rsid w:val="00F82878"/>
    <w:rsid w:val="00F840E7"/>
    <w:rsid w:val="00F90A38"/>
    <w:rsid w:val="00F91589"/>
    <w:rsid w:val="00F93145"/>
    <w:rsid w:val="00F95302"/>
    <w:rsid w:val="00F95C22"/>
    <w:rsid w:val="00FA5759"/>
    <w:rsid w:val="00FB777A"/>
    <w:rsid w:val="00FC74AA"/>
    <w:rsid w:val="00FD75E7"/>
    <w:rsid w:val="00FD7B04"/>
    <w:rsid w:val="030775A2"/>
    <w:rsid w:val="0FBA2FE6"/>
    <w:rsid w:val="110442BD"/>
    <w:rsid w:val="15B35CE6"/>
    <w:rsid w:val="27804312"/>
    <w:rsid w:val="28C804D0"/>
    <w:rsid w:val="2CB93276"/>
    <w:rsid w:val="2E8B65C0"/>
    <w:rsid w:val="2EBF1459"/>
    <w:rsid w:val="3BA52433"/>
    <w:rsid w:val="3D086921"/>
    <w:rsid w:val="3F131170"/>
    <w:rsid w:val="3F2F79E5"/>
    <w:rsid w:val="40093CEF"/>
    <w:rsid w:val="44AB684F"/>
    <w:rsid w:val="48F51E3E"/>
    <w:rsid w:val="4F3866FD"/>
    <w:rsid w:val="4FEE104D"/>
    <w:rsid w:val="52BA7A33"/>
    <w:rsid w:val="544664C0"/>
    <w:rsid w:val="5767661A"/>
    <w:rsid w:val="5D45379C"/>
    <w:rsid w:val="632D1E2D"/>
    <w:rsid w:val="63E14457"/>
    <w:rsid w:val="67AC7AD4"/>
    <w:rsid w:val="696E4E4D"/>
    <w:rsid w:val="6B91131C"/>
    <w:rsid w:val="6F576C46"/>
    <w:rsid w:val="769E0676"/>
    <w:rsid w:val="7FDE0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023AF4-D6C2-4C23-BFC3-CC73A00A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39" w:qFormat="1"/>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lsdException w:name="toc 9" w:semiHidden="1" w:uiPriority="0" w:qFormat="1"/>
    <w:lsdException w:name="Normal Indent" w:uiPriority="0" w:qFormat="1"/>
    <w:lsdException w:name="footnote text" w:semiHidden="1" w:unhideWhenUsed="1"/>
    <w:lsdException w:name="annotation text" w:semiHidden="1"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0"/>
    <w:link w:val="2Char"/>
    <w:qFormat/>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imes New Roman" w:eastAsia="宋体" w:hAnsi="Times New Roman" w:cs="Times New Roman"/>
      <w:szCs w:val="24"/>
    </w:rPr>
  </w:style>
  <w:style w:type="paragraph" w:styleId="a4">
    <w:name w:val="annotation subject"/>
    <w:basedOn w:val="a5"/>
    <w:next w:val="a5"/>
    <w:link w:val="Char"/>
    <w:qFormat/>
    <w:rPr>
      <w:b/>
      <w:bCs/>
    </w:rPr>
  </w:style>
  <w:style w:type="paragraph" w:styleId="a5">
    <w:name w:val="annotation text"/>
    <w:basedOn w:val="a"/>
    <w:link w:val="Char0"/>
    <w:semiHidden/>
    <w:qFormat/>
    <w:pPr>
      <w:jc w:val="left"/>
    </w:pPr>
    <w:rPr>
      <w:rFonts w:ascii="Times New Roman" w:eastAsia="宋体" w:hAnsi="Times New Roman" w:cs="Times New Roman"/>
      <w:szCs w:val="24"/>
    </w:rPr>
  </w:style>
  <w:style w:type="paragraph" w:styleId="7">
    <w:name w:val="toc 7"/>
    <w:basedOn w:val="a"/>
    <w:next w:val="a"/>
    <w:semiHidden/>
    <w:qFormat/>
    <w:pPr>
      <w:ind w:leftChars="1200" w:left="2520"/>
    </w:pPr>
    <w:rPr>
      <w:rFonts w:ascii="Times New Roman" w:eastAsia="宋体" w:hAnsi="Times New Roman" w:cs="Times New Roman"/>
      <w:szCs w:val="24"/>
    </w:rPr>
  </w:style>
  <w:style w:type="paragraph" w:styleId="a6">
    <w:name w:val="Body Text"/>
    <w:basedOn w:val="a"/>
    <w:link w:val="Char1"/>
    <w:qFormat/>
    <w:pPr>
      <w:spacing w:line="360" w:lineRule="auto"/>
    </w:pPr>
    <w:rPr>
      <w:rFonts w:ascii="仿宋_GB2312" w:eastAsia="仿宋_GB2312" w:hAnsi="Times New Roman" w:cs="Times New Roman"/>
      <w:color w:val="000000"/>
      <w:kern w:val="0"/>
      <w:sz w:val="24"/>
      <w:szCs w:val="28"/>
    </w:rPr>
  </w:style>
  <w:style w:type="paragraph" w:styleId="a7">
    <w:name w:val="Body Text Indent"/>
    <w:basedOn w:val="a"/>
    <w:link w:val="Char2"/>
    <w:qFormat/>
    <w:pPr>
      <w:adjustRightInd w:val="0"/>
      <w:snapToGrid w:val="0"/>
      <w:spacing w:line="560" w:lineRule="exact"/>
      <w:ind w:firstLineChars="200" w:firstLine="480"/>
    </w:pPr>
    <w:rPr>
      <w:rFonts w:ascii="Times New Roman" w:eastAsia="方正仿宋简体" w:hAnsi="Times New Roman" w:cs="Times New Roman"/>
      <w:sz w:val="24"/>
      <w:szCs w:val="30"/>
    </w:rPr>
  </w:style>
  <w:style w:type="paragraph" w:styleId="5">
    <w:name w:val="toc 5"/>
    <w:basedOn w:val="a"/>
    <w:next w:val="a"/>
    <w:semiHidden/>
    <w:qFormat/>
    <w:pPr>
      <w:ind w:leftChars="800" w:left="1680"/>
    </w:pPr>
    <w:rPr>
      <w:rFonts w:ascii="Times New Roman" w:eastAsia="宋体" w:hAnsi="Times New Roman" w:cs="Times New Roman"/>
      <w:szCs w:val="24"/>
    </w:rPr>
  </w:style>
  <w:style w:type="paragraph" w:styleId="3">
    <w:name w:val="toc 3"/>
    <w:basedOn w:val="a"/>
    <w:next w:val="a"/>
    <w:semiHidden/>
    <w:pPr>
      <w:ind w:leftChars="400" w:left="840"/>
    </w:pPr>
    <w:rPr>
      <w:rFonts w:ascii="Times New Roman" w:eastAsia="宋体" w:hAnsi="Times New Roman" w:cs="Times New Roman"/>
      <w:szCs w:val="24"/>
    </w:rPr>
  </w:style>
  <w:style w:type="paragraph" w:styleId="8">
    <w:name w:val="toc 8"/>
    <w:basedOn w:val="a"/>
    <w:next w:val="a"/>
    <w:semiHidden/>
    <w:pPr>
      <w:ind w:leftChars="1400" w:left="2940"/>
    </w:pPr>
    <w:rPr>
      <w:rFonts w:ascii="Times New Roman" w:eastAsia="宋体" w:hAnsi="Times New Roman" w:cs="Times New Roman"/>
      <w:szCs w:val="24"/>
    </w:rPr>
  </w:style>
  <w:style w:type="paragraph" w:styleId="20">
    <w:name w:val="Body Text Indent 2"/>
    <w:basedOn w:val="a"/>
    <w:link w:val="2Char0"/>
    <w:qFormat/>
    <w:pPr>
      <w:spacing w:line="360" w:lineRule="auto"/>
      <w:ind w:firstLine="525"/>
    </w:pPr>
    <w:rPr>
      <w:rFonts w:ascii="宋体" w:eastAsia="宋体" w:hAnsi="宋体" w:cs="Times New Roman"/>
      <w:sz w:val="28"/>
      <w:szCs w:val="20"/>
    </w:rPr>
  </w:style>
  <w:style w:type="paragraph" w:styleId="a8">
    <w:name w:val="Balloon Text"/>
    <w:basedOn w:val="a"/>
    <w:link w:val="Char3"/>
    <w:semiHidden/>
    <w:rPr>
      <w:rFonts w:ascii="Times New Roman" w:eastAsia="宋体" w:hAnsi="Times New Roman" w:cs="Times New Roman"/>
      <w:sz w:val="18"/>
      <w:szCs w:val="18"/>
    </w:rPr>
  </w:style>
  <w:style w:type="paragraph" w:styleId="a9">
    <w:name w:val="footer"/>
    <w:basedOn w:val="a"/>
    <w:link w:val="Char4"/>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a">
    <w:name w:val="header"/>
    <w:basedOn w:val="a"/>
    <w:link w:val="Char5"/>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semiHidden/>
    <w:qFormat/>
    <w:rPr>
      <w:rFonts w:ascii="Times New Roman" w:eastAsia="宋体" w:hAnsi="Times New Roman" w:cs="Times New Roman"/>
      <w:szCs w:val="24"/>
    </w:rPr>
  </w:style>
  <w:style w:type="paragraph" w:styleId="4">
    <w:name w:val="toc 4"/>
    <w:basedOn w:val="a"/>
    <w:next w:val="a"/>
    <w:semiHidden/>
    <w:qFormat/>
    <w:pPr>
      <w:ind w:leftChars="600" w:left="1260"/>
    </w:pPr>
    <w:rPr>
      <w:rFonts w:ascii="Times New Roman" w:eastAsia="宋体" w:hAnsi="Times New Roman" w:cs="Times New Roman"/>
      <w:szCs w:val="24"/>
    </w:rPr>
  </w:style>
  <w:style w:type="paragraph" w:styleId="6">
    <w:name w:val="toc 6"/>
    <w:basedOn w:val="a"/>
    <w:next w:val="a"/>
    <w:semiHidden/>
    <w:qFormat/>
    <w:pPr>
      <w:ind w:leftChars="1000" w:left="2100"/>
    </w:pPr>
    <w:rPr>
      <w:rFonts w:ascii="Times New Roman" w:eastAsia="宋体" w:hAnsi="Times New Roman" w:cs="Times New Roman"/>
      <w:szCs w:val="24"/>
    </w:r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szCs w:val="24"/>
    </w:rPr>
  </w:style>
  <w:style w:type="paragraph" w:styleId="21">
    <w:name w:val="toc 2"/>
    <w:basedOn w:val="a"/>
    <w:next w:val="a"/>
    <w:uiPriority w:val="39"/>
    <w:qFormat/>
    <w:pPr>
      <w:tabs>
        <w:tab w:val="right" w:leader="dot" w:pos="8494"/>
      </w:tabs>
      <w:ind w:leftChars="200" w:left="420"/>
    </w:pPr>
    <w:rPr>
      <w:rFonts w:ascii="Times New Roman" w:eastAsia="宋体" w:hAnsi="Times New Roman" w:cs="Times New Roman"/>
      <w:szCs w:val="24"/>
    </w:rPr>
  </w:style>
  <w:style w:type="paragraph" w:styleId="9">
    <w:name w:val="toc 9"/>
    <w:basedOn w:val="a"/>
    <w:next w:val="a"/>
    <w:semiHidden/>
    <w:qFormat/>
    <w:pPr>
      <w:ind w:leftChars="1600" w:left="3360"/>
    </w:pPr>
    <w:rPr>
      <w:rFonts w:ascii="Times New Roman" w:eastAsia="宋体" w:hAnsi="Times New Roman" w:cs="Times New Roman"/>
      <w:szCs w:val="24"/>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c">
    <w:name w:val="Strong"/>
    <w:qFormat/>
    <w:rPr>
      <w:b/>
      <w:bCs/>
    </w:rPr>
  </w:style>
  <w:style w:type="character" w:styleId="ad">
    <w:name w:val="page number"/>
    <w:basedOn w:val="a1"/>
    <w:qFormat/>
  </w:style>
  <w:style w:type="character" w:styleId="ae">
    <w:name w:val="FollowedHyperlink"/>
    <w:basedOn w:val="a1"/>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uiPriority w:val="99"/>
    <w:qFormat/>
    <w:rPr>
      <w:sz w:val="21"/>
      <w:szCs w:val="21"/>
    </w:rPr>
  </w:style>
  <w:style w:type="character" w:customStyle="1" w:styleId="2Char">
    <w:name w:val="标题 2 Char"/>
    <w:basedOn w:val="a1"/>
    <w:link w:val="2"/>
    <w:qFormat/>
    <w:rPr>
      <w:rFonts w:ascii="Arial" w:eastAsia="黑体" w:hAnsi="Arial" w:cs="Times New Roman"/>
      <w:b/>
      <w:sz w:val="32"/>
      <w:szCs w:val="20"/>
    </w:rPr>
  </w:style>
  <w:style w:type="character" w:customStyle="1" w:styleId="Char5">
    <w:name w:val="页眉 Char"/>
    <w:basedOn w:val="a1"/>
    <w:link w:val="aa"/>
    <w:qFormat/>
    <w:rPr>
      <w:rFonts w:ascii="Times New Roman" w:eastAsia="宋体" w:hAnsi="Times New Roman" w:cs="Times New Roman"/>
      <w:sz w:val="18"/>
      <w:szCs w:val="18"/>
    </w:rPr>
  </w:style>
  <w:style w:type="character" w:customStyle="1" w:styleId="Char4">
    <w:name w:val="页脚 Char"/>
    <w:basedOn w:val="a1"/>
    <w:link w:val="a9"/>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character" w:customStyle="1" w:styleId="Char1">
    <w:name w:val="正文文本 Char"/>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2">
    <w:name w:val="正文文本缩进 Char"/>
    <w:basedOn w:val="a1"/>
    <w:link w:val="a7"/>
    <w:qFormat/>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3Char">
    <w:name w:val="正文文本缩进 3 Char"/>
    <w:basedOn w:val="a1"/>
    <w:link w:val="30"/>
    <w:qFormat/>
    <w:rPr>
      <w:rFonts w:ascii="仿宋_GB2312" w:eastAsia="仿宋_GB2312" w:hAnsi="宋体" w:cs="Arial"/>
      <w:color w:val="000000"/>
      <w:sz w:val="24"/>
      <w:szCs w:val="24"/>
    </w:rPr>
  </w:style>
  <w:style w:type="character" w:customStyle="1" w:styleId="Char3">
    <w:name w:val="批注框文本 Char"/>
    <w:basedOn w:val="a1"/>
    <w:link w:val="a8"/>
    <w:semiHidden/>
    <w:qFormat/>
    <w:rPr>
      <w:rFonts w:ascii="Times New Roman" w:eastAsia="宋体" w:hAnsi="Times New Roman" w:cs="Times New Roman"/>
      <w:sz w:val="18"/>
      <w:szCs w:val="18"/>
    </w:rPr>
  </w:style>
  <w:style w:type="paragraph" w:customStyle="1" w:styleId="Char6">
    <w:name w:val="Char"/>
    <w:basedOn w:val="a"/>
    <w:qFormat/>
    <w:rPr>
      <w:rFonts w:ascii="Times New Roman" w:eastAsia="宋体" w:hAnsi="Times New Roman" w:cs="Times New Roman"/>
      <w:szCs w:val="24"/>
    </w:rPr>
  </w:style>
  <w:style w:type="paragraph" w:customStyle="1" w:styleId="Char10">
    <w:name w:val="Char1"/>
    <w:basedOn w:val="a"/>
    <w:qFormat/>
    <w:pPr>
      <w:tabs>
        <w:tab w:val="left"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qFormat/>
    <w:rPr>
      <w:rFonts w:ascii="Times New Roman" w:eastAsia="宋体" w:hAnsi="Times New Roman" w:cs="Times New Roman"/>
      <w:szCs w:val="24"/>
    </w:rPr>
  </w:style>
  <w:style w:type="character" w:customStyle="1" w:styleId="Char0">
    <w:name w:val="批注文字 Char"/>
    <w:basedOn w:val="a1"/>
    <w:link w:val="a5"/>
    <w:semiHidden/>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rPr>
      <w:rFonts w:ascii="Times New Roman" w:eastAsia="宋体" w:hAnsi="Times New Roman" w:cs="Times New Roman"/>
      <w:szCs w:val="24"/>
    </w:rPr>
  </w:style>
  <w:style w:type="paragraph" w:customStyle="1" w:styleId="CharChar">
    <w:name w:val="Char Char"/>
    <w:basedOn w:val="a"/>
    <w:qFormat/>
    <w:rPr>
      <w:rFonts w:ascii="Times New Roman" w:eastAsia="宋体" w:hAnsi="Times New Roman" w:cs="Times New Roman"/>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kern w:val="2"/>
      <w:sz w:val="21"/>
      <w:szCs w:val="22"/>
    </w:rPr>
  </w:style>
  <w:style w:type="paragraph" w:customStyle="1" w:styleId="10">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28BFE-3DF9-433F-AAC3-04774879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4333</Words>
  <Characters>24703</Characters>
  <Application>Microsoft Office Word</Application>
  <DocSecurity>0</DocSecurity>
  <Lines>205</Lines>
  <Paragraphs>57</Paragraphs>
  <ScaleCrop>false</ScaleCrop>
  <Company/>
  <LinksUpToDate>false</LinksUpToDate>
  <CharactersWithSpaces>28979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高珊</dc:creator>
  <cp:lastModifiedBy>dux</cp:lastModifiedBy>
  <cp:revision>118</cp:revision>
  <cp:lastPrinted>2018-11-16T02:46:00Z</cp:lastPrinted>
  <dcterms:created xsi:type="dcterms:W3CDTF">2018-07-12T05:38:00Z</dcterms:created>
  <dcterms:modified xsi:type="dcterms:W3CDTF">2019-01-15T01:17:00Z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