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sz w:val="24"/>
        </w:rPr>
      </w:pPr>
    </w:p>
    <w:p w:rsidR="005C6419" w:rsidRDefault="001D501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华泰柏瑞量化明选混合型</w:t>
      </w:r>
    </w:p>
    <w:p w:rsidR="005C6419" w:rsidRDefault="001D501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p>
    <w:p w:rsidR="005C6419" w:rsidRDefault="001D501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5C6419" w:rsidRDefault="005C6419">
      <w:pPr>
        <w:adjustRightInd w:val="0"/>
        <w:snapToGrid w:val="0"/>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1D501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基金管理人：华泰柏瑞基金管理有限公司</w:t>
      </w:r>
    </w:p>
    <w:p w:rsidR="005C6419" w:rsidRDefault="001D501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outlineLvl w:val="0"/>
        <w:rPr>
          <w:rFonts w:ascii="彩虹粗仿宋" w:eastAsia="彩虹粗仿宋" w:hAnsi="宋体" w:cs="Arial"/>
          <w:sz w:val="24"/>
        </w:rPr>
      </w:pPr>
    </w:p>
    <w:p w:rsidR="005C6419" w:rsidRDefault="001D5019">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w:t>
      </w:r>
    </w:p>
    <w:p w:rsidR="005C6419" w:rsidRDefault="005C6419">
      <w:pPr>
        <w:adjustRightInd w:val="0"/>
        <w:snapToGrid w:val="0"/>
        <w:jc w:val="center"/>
        <w:outlineLvl w:val="0"/>
        <w:rPr>
          <w:rFonts w:ascii="彩虹粗仿宋" w:eastAsia="彩虹粗仿宋" w:hAnsi="宋体" w:cs="Arial"/>
          <w:sz w:val="24"/>
        </w:rPr>
      </w:pPr>
    </w:p>
    <w:p w:rsidR="005C6419" w:rsidRDefault="005C6419">
      <w:pPr>
        <w:adjustRightInd w:val="0"/>
        <w:snapToGrid w:val="0"/>
        <w:jc w:val="center"/>
        <w:rPr>
          <w:rFonts w:ascii="彩虹粗仿宋" w:eastAsia="彩虹粗仿宋" w:hAnsi="宋体" w:cs="Arial"/>
          <w:bCs/>
          <w:sz w:val="24"/>
        </w:rPr>
      </w:pPr>
    </w:p>
    <w:p w:rsidR="005C6419" w:rsidRDefault="005C6419">
      <w:pPr>
        <w:adjustRightInd w:val="0"/>
        <w:snapToGrid w:val="0"/>
        <w:jc w:val="center"/>
        <w:rPr>
          <w:rFonts w:ascii="彩虹粗仿宋" w:eastAsia="彩虹粗仿宋" w:hAnsi="宋体" w:cs="Arial"/>
          <w:bCs/>
          <w:sz w:val="24"/>
        </w:rPr>
      </w:pPr>
    </w:p>
    <w:p w:rsidR="005C6419" w:rsidRDefault="001D5019">
      <w:pPr>
        <w:jc w:val="center"/>
        <w:rPr>
          <w:rFonts w:ascii="彩虹粗仿宋" w:eastAsia="彩虹粗仿宋"/>
          <w:b/>
          <w:bCs/>
          <w:sz w:val="30"/>
        </w:rPr>
      </w:pPr>
      <w:r>
        <w:rPr>
          <w:rFonts w:ascii="彩虹粗仿宋" w:eastAsia="彩虹粗仿宋" w:hint="eastAsia"/>
          <w:b/>
          <w:bCs/>
          <w:sz w:val="30"/>
        </w:rPr>
        <w:lastRenderedPageBreak/>
        <w:t>目    录</w:t>
      </w:r>
    </w:p>
    <w:p w:rsidR="005C6419" w:rsidRDefault="00145BA0">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sidR="001D5019">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sidR="001D5019">
          <w:rPr>
            <w:rStyle w:val="af"/>
            <w:rFonts w:ascii="彩虹粗仿宋" w:eastAsia="彩虹粗仿宋" w:hAnsi="宋体" w:hint="eastAsia"/>
            <w:noProof/>
            <w:sz w:val="28"/>
            <w:szCs w:val="32"/>
          </w:rPr>
          <w:t>一、基金托管协议当事人</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86" w:history="1">
        <w:r w:rsidR="001D5019">
          <w:rPr>
            <w:rStyle w:val="af"/>
            <w:rFonts w:ascii="彩虹粗仿宋" w:eastAsia="彩虹粗仿宋" w:hAnsi="宋体" w:hint="eastAsia"/>
            <w:noProof/>
            <w:sz w:val="28"/>
            <w:szCs w:val="32"/>
          </w:rPr>
          <w:t>二、基金托管协议的依据、目的和原则</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_Toc124325886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4</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87" w:history="1">
        <w:r w:rsidR="001D5019">
          <w:rPr>
            <w:rStyle w:val="af"/>
            <w:rFonts w:ascii="彩虹粗仿宋" w:eastAsia="彩虹粗仿宋" w:hAnsi="宋体" w:hint="eastAsia"/>
            <w:noProof/>
            <w:sz w:val="28"/>
            <w:szCs w:val="32"/>
          </w:rPr>
          <w:t>三、基金托管人对基金管理人的业务监督和核查</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_Toc124325887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5</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88" w:history="1">
        <w:r w:rsidR="001D5019">
          <w:rPr>
            <w:rStyle w:val="af"/>
            <w:rFonts w:ascii="彩虹粗仿宋" w:eastAsia="彩虹粗仿宋" w:hAnsi="宋体" w:hint="eastAsia"/>
            <w:noProof/>
            <w:sz w:val="28"/>
            <w:szCs w:val="32"/>
          </w:rPr>
          <w:t>四、基金管理人对基金托管人的业务核查</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_Toc124325888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10</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89" w:history="1">
        <w:r w:rsidR="001D5019">
          <w:rPr>
            <w:rStyle w:val="af"/>
            <w:rFonts w:ascii="彩虹粗仿宋" w:eastAsia="彩虹粗仿宋" w:hAnsi="宋体" w:hint="eastAsia"/>
            <w:noProof/>
            <w:sz w:val="28"/>
            <w:szCs w:val="32"/>
          </w:rPr>
          <w:t>五、基金财产的保管</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_Toc124325889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11</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0" w:history="1">
        <w:r w:rsidR="001D5019">
          <w:rPr>
            <w:rStyle w:val="af"/>
            <w:rFonts w:ascii="彩虹粗仿宋" w:eastAsia="彩虹粗仿宋" w:hAnsi="宋体" w:hint="eastAsia"/>
            <w:noProof/>
            <w:sz w:val="28"/>
            <w:szCs w:val="32"/>
          </w:rPr>
          <w:t>六、指令的发送、确认及执行</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14</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1" w:history="1">
        <w:r w:rsidR="001D5019">
          <w:rPr>
            <w:rStyle w:val="af"/>
            <w:rFonts w:ascii="彩虹粗仿宋" w:eastAsia="彩虹粗仿宋" w:hAnsi="宋体" w:hint="eastAsia"/>
            <w:noProof/>
            <w:sz w:val="28"/>
            <w:szCs w:val="32"/>
          </w:rPr>
          <w:t>七、交易及清算交收安</w:t>
        </w:r>
        <w:bookmarkStart w:id="0" w:name="_Hlt419449173"/>
        <w:r w:rsidR="001D5019">
          <w:rPr>
            <w:rStyle w:val="af"/>
            <w:rFonts w:ascii="彩虹粗仿宋" w:eastAsia="彩虹粗仿宋" w:hAnsi="宋体" w:hint="eastAsia"/>
            <w:noProof/>
            <w:sz w:val="28"/>
            <w:szCs w:val="32"/>
          </w:rPr>
          <w:t>排</w:t>
        </w:r>
        <w:bookmarkEnd w:id="0"/>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16</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2" w:history="1">
        <w:r w:rsidR="001D5019">
          <w:rPr>
            <w:rStyle w:val="af"/>
            <w:rFonts w:ascii="彩虹粗仿宋" w:eastAsia="彩虹粗仿宋" w:hAnsi="宋体" w:hint="eastAsia"/>
            <w:noProof/>
            <w:sz w:val="28"/>
            <w:szCs w:val="32"/>
          </w:rPr>
          <w:t>八、基金资产净值</w:t>
        </w:r>
        <w:bookmarkStart w:id="1" w:name="_Hlt419449178"/>
        <w:r w:rsidR="001D5019">
          <w:rPr>
            <w:rStyle w:val="af"/>
            <w:rFonts w:ascii="彩虹粗仿宋" w:eastAsia="彩虹粗仿宋" w:hAnsi="宋体" w:hint="eastAsia"/>
            <w:noProof/>
            <w:sz w:val="28"/>
            <w:szCs w:val="32"/>
          </w:rPr>
          <w:t>计</w:t>
        </w:r>
        <w:bookmarkEnd w:id="1"/>
        <w:r w:rsidR="001D5019">
          <w:rPr>
            <w:rStyle w:val="af"/>
            <w:rFonts w:ascii="彩虹粗仿宋" w:eastAsia="彩虹粗仿宋" w:hAnsi="宋体" w:hint="eastAsia"/>
            <w:noProof/>
            <w:sz w:val="28"/>
            <w:szCs w:val="32"/>
          </w:rPr>
          <w:t>算和会计核算</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20</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3" w:history="1">
        <w:r w:rsidR="001D5019">
          <w:rPr>
            <w:rStyle w:val="af"/>
            <w:rFonts w:ascii="彩虹粗仿宋" w:eastAsia="彩虹粗仿宋" w:hAnsi="宋体" w:hint="eastAsia"/>
            <w:noProof/>
            <w:sz w:val="28"/>
            <w:szCs w:val="32"/>
          </w:rPr>
          <w:t>九、基金收益分配</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25</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4" w:history="1">
        <w:r w:rsidR="001D5019">
          <w:rPr>
            <w:rStyle w:val="af"/>
            <w:rFonts w:ascii="彩虹粗仿宋" w:eastAsia="彩虹粗仿宋" w:hAnsi="宋体" w:hint="eastAsia"/>
            <w:noProof/>
            <w:sz w:val="28"/>
            <w:szCs w:val="32"/>
          </w:rPr>
          <w:t>十、基金信息披露</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26</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5" w:history="1">
        <w:r w:rsidR="001D5019">
          <w:rPr>
            <w:rStyle w:val="af"/>
            <w:rFonts w:ascii="彩虹粗仿宋" w:eastAsia="彩虹粗仿宋" w:hAnsi="宋体" w:hint="eastAsia"/>
            <w:noProof/>
            <w:sz w:val="28"/>
            <w:szCs w:val="32"/>
          </w:rPr>
          <w:t>十一、基金费用</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27</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6" w:history="1">
        <w:r w:rsidR="001D5019">
          <w:rPr>
            <w:rStyle w:val="af"/>
            <w:rFonts w:ascii="彩虹粗仿宋" w:eastAsia="彩虹粗仿宋" w:hAnsi="宋体" w:hint="eastAsia"/>
            <w:noProof/>
            <w:sz w:val="28"/>
            <w:szCs w:val="32"/>
          </w:rPr>
          <w:t>十二、基金份额持有人名册的保管</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_Toc124325896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29</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7" w:history="1">
        <w:r w:rsidR="001D5019">
          <w:rPr>
            <w:rStyle w:val="af"/>
            <w:rFonts w:ascii="彩虹粗仿宋" w:eastAsia="彩虹粗仿宋" w:hAnsi="宋体" w:hint="eastAsia"/>
            <w:noProof/>
            <w:sz w:val="28"/>
            <w:szCs w:val="32"/>
          </w:rPr>
          <w:t>十三、基金有关文件档案的保存</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_Toc124325897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29</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8" w:history="1">
        <w:r w:rsidR="001D5019">
          <w:rPr>
            <w:rStyle w:val="af"/>
            <w:rFonts w:ascii="彩虹粗仿宋" w:eastAsia="彩虹粗仿宋" w:hAnsi="宋体" w:hint="eastAsia"/>
            <w:noProof/>
            <w:sz w:val="28"/>
            <w:szCs w:val="32"/>
          </w:rPr>
          <w:t>十四、基金管理人和基金托管人的更换</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_Toc124325898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30</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899" w:history="1">
        <w:r w:rsidR="001D5019">
          <w:rPr>
            <w:rStyle w:val="af"/>
            <w:rFonts w:ascii="彩虹粗仿宋" w:eastAsia="彩虹粗仿宋" w:hAnsi="宋体" w:hint="eastAsia"/>
            <w:noProof/>
            <w:sz w:val="28"/>
            <w:szCs w:val="32"/>
          </w:rPr>
          <w:t>十五、禁止行为</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_Toc124325899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32</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0" w:history="1">
        <w:r w:rsidR="001D5019">
          <w:rPr>
            <w:rStyle w:val="af"/>
            <w:rFonts w:ascii="彩虹粗仿宋" w:eastAsia="彩虹粗仿宋" w:hAnsi="宋体" w:hint="eastAsia"/>
            <w:noProof/>
            <w:sz w:val="28"/>
            <w:szCs w:val="32"/>
          </w:rPr>
          <w:t>十六、托管协议的变更、终止与基金财产的清算</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_Toc124325900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33</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1" w:history="1">
        <w:r w:rsidR="001D5019">
          <w:rPr>
            <w:rStyle w:val="af"/>
            <w:rFonts w:ascii="彩虹粗仿宋" w:eastAsia="彩虹粗仿宋" w:hAnsi="宋体" w:hint="eastAsia"/>
            <w:noProof/>
            <w:sz w:val="28"/>
            <w:szCs w:val="32"/>
          </w:rPr>
          <w:t>十七、违约责任</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_Toc124325901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34</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2" w:history="1">
        <w:r w:rsidR="001D5019">
          <w:rPr>
            <w:rStyle w:val="af"/>
            <w:rFonts w:ascii="彩虹粗仿宋" w:eastAsia="彩虹粗仿宋" w:hAnsi="宋体" w:hint="eastAsia"/>
            <w:noProof/>
            <w:sz w:val="28"/>
            <w:szCs w:val="32"/>
          </w:rPr>
          <w:t>十八、争议解决方式</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_Toc124325902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35</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3" w:history="1">
        <w:r w:rsidR="001D5019">
          <w:rPr>
            <w:rStyle w:val="af"/>
            <w:rFonts w:ascii="彩虹粗仿宋" w:eastAsia="彩虹粗仿宋" w:hAnsi="宋体" w:hint="eastAsia"/>
            <w:noProof/>
            <w:sz w:val="28"/>
            <w:szCs w:val="32"/>
          </w:rPr>
          <w:t>十九、托管协议的效力</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_Toc124325903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36</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4" w:history="1">
        <w:r w:rsidR="001D5019">
          <w:rPr>
            <w:rStyle w:val="af"/>
            <w:rFonts w:ascii="彩虹粗仿宋" w:eastAsia="彩虹粗仿宋" w:hAnsi="宋体" w:hint="eastAsia"/>
            <w:noProof/>
            <w:sz w:val="28"/>
            <w:szCs w:val="32"/>
          </w:rPr>
          <w:t>二十、其他事项</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_Toc124325904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36</w:t>
        </w:r>
        <w:r>
          <w:rPr>
            <w:rFonts w:ascii="彩虹粗仿宋" w:eastAsia="彩虹粗仿宋" w:hAnsi="宋体" w:hint="eastAsia"/>
            <w:noProof/>
            <w:sz w:val="28"/>
          </w:rPr>
          <w:fldChar w:fldCharType="end"/>
        </w:r>
      </w:hyperlink>
    </w:p>
    <w:p w:rsidR="005C6419" w:rsidRDefault="00145BA0">
      <w:pPr>
        <w:pStyle w:val="21"/>
        <w:tabs>
          <w:tab w:val="right" w:leader="dot" w:pos="8494"/>
        </w:tabs>
        <w:rPr>
          <w:rFonts w:ascii="彩虹粗仿宋" w:eastAsia="彩虹粗仿宋" w:hAnsi="宋体"/>
          <w:noProof/>
          <w:sz w:val="28"/>
        </w:rPr>
      </w:pPr>
      <w:hyperlink w:anchor="_Toc124325905" w:history="1">
        <w:r w:rsidR="001D5019">
          <w:rPr>
            <w:rStyle w:val="af"/>
            <w:rFonts w:ascii="彩虹粗仿宋" w:eastAsia="彩虹粗仿宋" w:hAnsi="宋体" w:hint="eastAsia"/>
            <w:noProof/>
            <w:sz w:val="28"/>
            <w:szCs w:val="32"/>
          </w:rPr>
          <w:t>二十一、托管协议的签订</w:t>
        </w:r>
        <w:r w:rsidR="001D5019">
          <w:rPr>
            <w:rFonts w:ascii="彩虹粗仿宋" w:eastAsia="彩虹粗仿宋" w:hAnsi="宋体" w:hint="eastAsia"/>
            <w:noProof/>
            <w:sz w:val="28"/>
          </w:rPr>
          <w:tab/>
        </w:r>
        <w:r>
          <w:rPr>
            <w:rFonts w:ascii="彩虹粗仿宋" w:eastAsia="彩虹粗仿宋" w:hAnsi="宋体" w:hint="eastAsia"/>
            <w:noProof/>
            <w:sz w:val="28"/>
          </w:rPr>
          <w:fldChar w:fldCharType="begin"/>
        </w:r>
        <w:r w:rsidR="001D5019">
          <w:rPr>
            <w:rFonts w:ascii="彩虹粗仿宋" w:eastAsia="彩虹粗仿宋" w:hAnsi="宋体" w:hint="eastAsia"/>
            <w:noProof/>
            <w:sz w:val="28"/>
          </w:rPr>
          <w:instrText xml:space="preserve"> PAGEREF _Toc124325905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F126EE">
          <w:rPr>
            <w:rFonts w:ascii="彩虹粗仿宋" w:eastAsia="彩虹粗仿宋" w:hAnsi="宋体"/>
            <w:noProof/>
            <w:sz w:val="28"/>
          </w:rPr>
          <w:t>36</w:t>
        </w:r>
        <w:r>
          <w:rPr>
            <w:rFonts w:ascii="彩虹粗仿宋" w:eastAsia="彩虹粗仿宋" w:hAnsi="宋体" w:hint="eastAsia"/>
            <w:noProof/>
            <w:sz w:val="28"/>
          </w:rPr>
          <w:fldChar w:fldCharType="end"/>
        </w:r>
      </w:hyperlink>
    </w:p>
    <w:p w:rsidR="005C6419" w:rsidRDefault="00145BA0">
      <w:pPr>
        <w:rPr>
          <w:rFonts w:ascii="彩虹粗仿宋" w:eastAsia="彩虹粗仿宋"/>
          <w:sz w:val="24"/>
        </w:rPr>
      </w:pPr>
      <w:r>
        <w:rPr>
          <w:rFonts w:ascii="彩虹粗仿宋" w:eastAsia="彩虹粗仿宋" w:hAnsi="宋体" w:hint="eastAsia"/>
          <w:sz w:val="28"/>
        </w:rPr>
        <w:lastRenderedPageBreak/>
        <w:fldChar w:fldCharType="end"/>
      </w:r>
    </w:p>
    <w:p w:rsidR="005C6419" w:rsidRDefault="001D50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鉴于华泰柏瑞基金管理有限公司系一家依照中国法律合法成立并有效存续的有限责任公司，按照相关法律法规的规定具备担任基金管理人的资格和能力，拟募集发行华泰柏瑞量化明选混合型证券投资基金；</w:t>
      </w:r>
    </w:p>
    <w:p w:rsidR="005C6419" w:rsidRDefault="001D50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C6419" w:rsidRDefault="001D50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鉴于华泰柏瑞基金管理有限公司拟担任华泰柏瑞量化明选混合型证券投资基金的基金管理人，中国建设银行股份有限公司拟担任华泰柏瑞量化明选混合型证券投资基金的基金托管人；</w:t>
      </w:r>
    </w:p>
    <w:p w:rsidR="005C6419" w:rsidRDefault="001D5019">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为明确华泰柏瑞量化明选混合型证券投资基金的基金管理人和基金托管人之间的权利义务关系，特制订本托管协议；</w:t>
      </w:r>
    </w:p>
    <w:p w:rsidR="005C6419" w:rsidRDefault="001D5019">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华泰柏瑞量化明选混合型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5C6419" w:rsidRDefault="005C6419">
      <w:pPr>
        <w:rPr>
          <w:rFonts w:ascii="彩虹粗仿宋" w:eastAsia="彩虹粗仿宋"/>
          <w:sz w:val="24"/>
          <w:lang w:val="en-GB"/>
        </w:rPr>
      </w:pPr>
    </w:p>
    <w:p w:rsidR="005C6419" w:rsidRDefault="001D5019">
      <w:pPr>
        <w:pStyle w:val="2"/>
        <w:jc w:val="center"/>
        <w:rPr>
          <w:rFonts w:ascii="彩虹粗仿宋" w:eastAsia="彩虹粗仿宋"/>
        </w:rPr>
      </w:pPr>
      <w:bookmarkStart w:id="2" w:name="_Toc124325885"/>
      <w:r>
        <w:rPr>
          <w:rFonts w:ascii="彩虹粗仿宋" w:eastAsia="彩虹粗仿宋" w:hint="eastAsia"/>
        </w:rPr>
        <w:t>一、基金托管协议当事人</w:t>
      </w:r>
      <w:bookmarkEnd w:id="2"/>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名称：华泰柏瑞基金管理有限公司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办公地址：中国（上海）自由贸易试验区民生路</w:t>
      </w:r>
      <w:r>
        <w:rPr>
          <w:rFonts w:ascii="彩虹粗仿宋" w:eastAsia="彩虹粗仿宋" w:hAnsi="宋体" w:cs="Arial"/>
          <w:sz w:val="24"/>
        </w:rPr>
        <w:t>1199</w:t>
      </w:r>
      <w:r>
        <w:rPr>
          <w:rFonts w:ascii="彩虹粗仿宋" w:eastAsia="彩虹粗仿宋" w:hAnsi="宋体" w:cs="Arial" w:hint="eastAsia"/>
          <w:sz w:val="24"/>
        </w:rPr>
        <w:t>弄上海证大五道口广场</w:t>
      </w:r>
      <w:r>
        <w:rPr>
          <w:rFonts w:ascii="彩虹粗仿宋" w:eastAsia="彩虹粗仿宋" w:hAnsi="宋体" w:cs="Arial"/>
          <w:sz w:val="24"/>
        </w:rPr>
        <w:t>1</w:t>
      </w:r>
      <w:r>
        <w:rPr>
          <w:rFonts w:ascii="彩虹粗仿宋" w:eastAsia="彩虹粗仿宋" w:hAnsi="宋体" w:cs="Arial" w:hint="eastAsia"/>
          <w:sz w:val="24"/>
        </w:rPr>
        <w:t>号</w:t>
      </w:r>
      <w:r>
        <w:rPr>
          <w:rFonts w:ascii="彩虹粗仿宋" w:eastAsia="彩虹粗仿宋" w:hAnsi="宋体" w:cs="Arial"/>
          <w:sz w:val="24"/>
        </w:rPr>
        <w:t>17</w:t>
      </w:r>
      <w:r>
        <w:rPr>
          <w:rFonts w:ascii="彩虹粗仿宋" w:eastAsia="彩虹粗仿宋" w:hAnsi="宋体" w:cs="Arial" w:hint="eastAsia"/>
          <w:sz w:val="24"/>
        </w:rPr>
        <w:t>层</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邮政编码：200135</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法定代表人：贾波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w:t>
      </w:r>
      <w:r>
        <w:rPr>
          <w:rStyle w:val="read"/>
          <w:rFonts w:ascii="彩虹粗仿宋" w:eastAsia="彩虹粗仿宋" w:hAnsi="宋体" w:cs="Arial" w:hint="eastAsia"/>
        </w:rPr>
        <w:t>年11月18日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Style w:val="read"/>
          <w:rFonts w:ascii="彩虹粗仿宋" w:eastAsia="彩虹粗仿宋" w:hAnsi="宋体" w:cs="Arial" w:hint="eastAsia"/>
        </w:rPr>
        <w:t>[2004]178</w:t>
      </w:r>
      <w:r>
        <w:rPr>
          <w:rFonts w:ascii="彩虹粗仿宋" w:eastAsia="彩虹粗仿宋" w:hAnsi="宋体" w:cs="Arial" w:hint="eastAsia"/>
          <w:sz w:val="24"/>
        </w:rPr>
        <w:t>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组织形式：有限责任公司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w:t>
      </w:r>
      <w:r>
        <w:rPr>
          <w:rStyle w:val="read"/>
          <w:rFonts w:ascii="彩虹粗仿宋" w:eastAsia="彩虹粗仿宋" w:hAnsi="宋体" w:cs="Arial" w:hint="eastAsia"/>
        </w:rPr>
        <w:t>元人民币</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经营范围：发起设立基金、基金管理及中国证监会批准的其他业务</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（二）基金托管人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3" w:name="OLE_LINK3"/>
      <w:r>
        <w:rPr>
          <w:rFonts w:ascii="彩虹粗仿宋" w:eastAsia="彩虹粗仿宋" w:hAnsi="宋体" w:cs="Arial" w:hint="eastAsia"/>
          <w:sz w:val="24"/>
        </w:rPr>
        <w:t>]</w:t>
      </w:r>
      <w:bookmarkEnd w:id="3"/>
      <w:r>
        <w:rPr>
          <w:rFonts w:ascii="彩虹粗仿宋" w:eastAsia="彩虹粗仿宋" w:hAnsi="宋体" w:cs="Arial" w:hint="eastAsia"/>
          <w:sz w:val="24"/>
        </w:rPr>
        <w:t>12号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5C6419" w:rsidRDefault="001D501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C6419" w:rsidRDefault="005C6419">
      <w:pPr>
        <w:rPr>
          <w:rFonts w:ascii="彩虹粗仿宋" w:eastAsia="彩虹粗仿宋"/>
          <w:sz w:val="24"/>
        </w:rPr>
      </w:pPr>
    </w:p>
    <w:p w:rsidR="005C6419" w:rsidRDefault="001D5019">
      <w:pPr>
        <w:pStyle w:val="2"/>
        <w:jc w:val="center"/>
        <w:rPr>
          <w:rFonts w:ascii="彩虹粗仿宋" w:eastAsia="彩虹粗仿宋"/>
          <w:sz w:val="30"/>
        </w:rPr>
      </w:pPr>
      <w:bookmarkStart w:id="4" w:name="_Toc124325886"/>
      <w:r>
        <w:rPr>
          <w:rFonts w:ascii="彩虹粗仿宋" w:eastAsia="彩虹粗仿宋" w:hint="eastAsia"/>
          <w:sz w:val="30"/>
        </w:rPr>
        <w:t>二、基金托管协议的依据、目的和原则</w:t>
      </w:r>
      <w:bookmarkEnd w:id="4"/>
    </w:p>
    <w:p w:rsidR="005C6419" w:rsidRDefault="001D501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5C6419" w:rsidRDefault="001D501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C6419" w:rsidRDefault="005C6419">
      <w:pPr>
        <w:rPr>
          <w:rFonts w:ascii="彩虹粗仿宋" w:eastAsia="彩虹粗仿宋"/>
          <w:sz w:val="24"/>
        </w:rPr>
      </w:pPr>
    </w:p>
    <w:p w:rsidR="005C6419" w:rsidRDefault="001D5019">
      <w:pPr>
        <w:pStyle w:val="2"/>
        <w:jc w:val="center"/>
        <w:rPr>
          <w:rFonts w:ascii="彩虹粗仿宋" w:eastAsia="彩虹粗仿宋"/>
          <w:sz w:val="30"/>
          <w:szCs w:val="24"/>
        </w:rPr>
      </w:pPr>
      <w:bookmarkStart w:id="5" w:name="_Toc124325887"/>
      <w:r>
        <w:rPr>
          <w:rFonts w:ascii="彩虹粗仿宋" w:eastAsia="彩虹粗仿宋" w:hint="eastAsia"/>
          <w:sz w:val="30"/>
        </w:rPr>
        <w:lastRenderedPageBreak/>
        <w:t>三、基金托管人对基金管理人的业务监督和核查</w:t>
      </w:r>
      <w:bookmarkEnd w:id="5"/>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的股票（包含中小板、创业板及其他经中国证监会核准上市的股票）、债券（国债、金融债、企业债、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本基金还可依规定参与融资业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如法律法规或监管机构以后允许基金投资其他品种，基金管理人在履行适当程序后，可以将其纳入投资范围。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（二）基金托管人根据有关法律法规的规定及《基金合同》的约定，对基金投资、融资比例进行监督。基金托管人按下述比例和调整期限进行监督：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本基金股票资产的投资比例占基金资产的60-95%；</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Ansi="宋体" w:cs="Arial"/>
          <w:sz w:val="24"/>
        </w:rPr>
        <w:t xml:space="preserve"> 本基金每个交易日日终在扣除股指期货合约需缴纳的交易保证金后，</w:t>
      </w:r>
      <w:r>
        <w:rPr>
          <w:rFonts w:ascii="彩虹粗仿宋" w:eastAsia="彩虹粗仿宋" w:hAnsi="宋体" w:cs="Arial" w:hint="eastAsia"/>
          <w:sz w:val="24"/>
        </w:rPr>
        <w:t>应当保持不低于基金资产净值5％的现金</w:t>
      </w:r>
      <w:r>
        <w:rPr>
          <w:rFonts w:ascii="彩虹粗仿宋" w:eastAsia="彩虹粗仿宋" w:hAnsi="宋体" w:cs="Arial"/>
          <w:sz w:val="24"/>
        </w:rPr>
        <w:t>（不包括结算备付金、存出保证金、应收申购款等）</w:t>
      </w:r>
      <w:r>
        <w:rPr>
          <w:rFonts w:ascii="彩虹粗仿宋" w:eastAsia="彩虹粗仿宋" w:hAnsi="宋体" w:cs="Arial" w:hint="eastAsia"/>
          <w:sz w:val="24"/>
        </w:rPr>
        <w:t>或者到期日在一年以内的政府债券；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3.本基金持有一家公司发行的证券，其市值不超过基金资产净值的10％；</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本基金管理人管理</w:t>
      </w:r>
      <w:r>
        <w:rPr>
          <w:rFonts w:ascii="彩虹粗仿宋" w:eastAsia="彩虹粗仿宋" w:hAnsi="宋体" w:cs="Arial" w:hint="eastAsia"/>
          <w:sz w:val="24"/>
        </w:rPr>
        <w:t>且由本基金托管人托管</w:t>
      </w:r>
      <w:r>
        <w:rPr>
          <w:rFonts w:ascii="彩虹粗仿宋" w:eastAsia="彩虹粗仿宋" w:hAnsi="宋体" w:cs="Arial"/>
          <w:sz w:val="24"/>
        </w:rPr>
        <w:t>的全部基金持有一家公司发行的证券，不超过该证券的10％；</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5.本基金持有的全部权证，其市值不得超过基金资产净值的3％；</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6.本基金管理人管理且由本基金托管人托管的全部基金持有的同一权证，不得超过该权证的10%；</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7.本基金在任何交易日买入权证的总金额，不得超过上一交易日基金资产净值的0.5％；</w:t>
      </w:r>
    </w:p>
    <w:p w:rsidR="005C6419" w:rsidRPr="006A16D3"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8.本基金投资于同一原始权益人的各类资产支持证</w:t>
      </w:r>
      <w:r w:rsidR="00E100BD" w:rsidRPr="00E100BD">
        <w:rPr>
          <w:rFonts w:ascii="彩虹粗仿宋" w:eastAsia="彩虹粗仿宋" w:hAnsi="宋体" w:cs="Arial" w:hint="eastAsia"/>
          <w:sz w:val="24"/>
        </w:rPr>
        <w:t>券的比例，不得超过基金资产净值的10％；</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9.本基金持有的全部资产支持证券，其市值不得超过基金资产净值的20％；</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10.本基金持有的同一(指同一信用级别)资产支持证券的比例，不得超过该资</w:t>
      </w:r>
      <w:r w:rsidRPr="00E100BD">
        <w:rPr>
          <w:rFonts w:ascii="彩虹粗仿宋" w:eastAsia="彩虹粗仿宋" w:hAnsi="宋体" w:cs="Arial" w:hint="eastAsia"/>
          <w:sz w:val="24"/>
        </w:rPr>
        <w:lastRenderedPageBreak/>
        <w:t>产支持证券规模的10％；</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11.本基金管理人管理且由本基金托管人托管的全部基金投资于同一原始权益人的各类资产支持证券，不得超过其各类资产支持证券合计规模的10%；</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13.基金财产参与股票发行申购，本基金所申报的金额不超过本基金的总资产，本基金所申报的股票数量不超过拟发行股票公司本次发行股票的总量；</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14.本基金进入全国银行间同业市场进行债券回购的资金余额不得超过基金资产净值的40％；债券回购最长期限为</w:t>
      </w:r>
      <w:r w:rsidRPr="00E100BD">
        <w:rPr>
          <w:rFonts w:ascii="彩虹粗仿宋" w:eastAsia="彩虹粗仿宋" w:hAnsi="宋体" w:cs="Arial"/>
          <w:sz w:val="24"/>
        </w:rPr>
        <w:t>1</w:t>
      </w:r>
      <w:r w:rsidRPr="00E100BD">
        <w:rPr>
          <w:rFonts w:ascii="彩虹粗仿宋" w:eastAsia="彩虹粗仿宋" w:hAnsi="宋体" w:cs="Arial" w:hint="eastAsia"/>
          <w:sz w:val="24"/>
        </w:rPr>
        <w:t>年，债券回购到期后不得展期；</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 xml:space="preserve">15.本基金持有的所有流通受限证券，其公允价值不得超过本基金资产净值的15%；本基金持有的同一流通受限证券，其公允价值不得超过本基金资产净值的10%； </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16.本基金参与股指期货投资，需遵循下述比例限制：</w:t>
      </w:r>
    </w:p>
    <w:p w:rsidR="005C6419" w:rsidRPr="006A16D3" w:rsidRDefault="006C6D74">
      <w:pPr>
        <w:adjustRightInd w:val="0"/>
        <w:snapToGrid w:val="0"/>
        <w:ind w:firstLineChars="200" w:firstLine="480"/>
        <w:rPr>
          <w:rFonts w:ascii="彩虹粗仿宋" w:eastAsia="彩虹粗仿宋" w:hAnsi="宋体" w:cs="Arial"/>
          <w:sz w:val="24"/>
        </w:rPr>
      </w:pPr>
      <w:r w:rsidRPr="00420466">
        <w:rPr>
          <w:rFonts w:ascii="彩虹粗仿宋" w:eastAsia="彩虹粗仿宋"/>
          <w:sz w:val="24"/>
        </w:rPr>
        <w:t>1</w:t>
      </w:r>
      <w:r w:rsidRPr="00420466">
        <w:rPr>
          <w:rFonts w:ascii="彩虹粗仿宋" w:eastAsia="彩虹粗仿宋" w:hint="eastAsia"/>
          <w:sz w:val="24"/>
        </w:rPr>
        <w:t>）本基金在任</w:t>
      </w:r>
      <w:r w:rsidR="00E100BD" w:rsidRPr="00E100BD">
        <w:rPr>
          <w:rFonts w:ascii="彩虹粗仿宋" w:eastAsia="彩虹粗仿宋" w:hAnsi="宋体" w:cs="Arial" w:hint="eastAsia"/>
          <w:sz w:val="24"/>
        </w:rPr>
        <w:t>何交易日日终，持有的买入股指期货合约价值，不得超过基金资产净值的</w:t>
      </w:r>
      <w:r w:rsidR="00E100BD" w:rsidRPr="00E100BD">
        <w:rPr>
          <w:rFonts w:ascii="彩虹粗仿宋" w:eastAsia="彩虹粗仿宋" w:hAnsi="宋体" w:cs="Arial"/>
          <w:sz w:val="24"/>
        </w:rPr>
        <w:t>10%</w:t>
      </w:r>
      <w:r w:rsidR="00E100BD" w:rsidRPr="00E100BD">
        <w:rPr>
          <w:rFonts w:ascii="彩虹粗仿宋" w:eastAsia="彩虹粗仿宋" w:hAnsi="宋体" w:cs="Arial" w:hint="eastAsia"/>
          <w:sz w:val="24"/>
        </w:rPr>
        <w:t>；</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sz w:val="24"/>
        </w:rPr>
        <w:t>2</w:t>
      </w:r>
      <w:r w:rsidRPr="00E100BD">
        <w:rPr>
          <w:rFonts w:ascii="彩虹粗仿宋" w:eastAsia="彩虹粗仿宋" w:hAnsi="宋体" w:cs="Arial" w:hint="eastAsia"/>
          <w:sz w:val="24"/>
        </w:rPr>
        <w:t>）本基金在任何交易日日终，持有的买入股指期货合约价值与有价证券市值之和，不得超过基金资产净值的</w:t>
      </w:r>
      <w:r w:rsidRPr="00E100BD">
        <w:rPr>
          <w:rFonts w:ascii="彩虹粗仿宋" w:eastAsia="彩虹粗仿宋" w:hAnsi="宋体" w:cs="Arial"/>
          <w:sz w:val="24"/>
        </w:rPr>
        <w:t>95%</w:t>
      </w:r>
      <w:r w:rsidRPr="00E100BD">
        <w:rPr>
          <w:rFonts w:ascii="彩虹粗仿宋" w:eastAsia="彩虹粗仿宋" w:hAnsi="宋体" w:cs="Arial" w:hint="eastAsia"/>
          <w:sz w:val="24"/>
        </w:rPr>
        <w:t>；其中，有价证券指股票、债券（不含到期日在一年以内的政府债券）、权证、资产支持证券、买入返售金融资产（不含质押式回购）等；</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sz w:val="24"/>
        </w:rPr>
        <w:t>3</w:t>
      </w:r>
      <w:r w:rsidRPr="00E100BD">
        <w:rPr>
          <w:rFonts w:ascii="彩虹粗仿宋" w:eastAsia="彩虹粗仿宋" w:hAnsi="宋体" w:cs="Arial" w:hint="eastAsia"/>
          <w:sz w:val="24"/>
        </w:rPr>
        <w:t>）本基金在任何交易日日终，持有的卖出股指期货合约价值不得超过基金持有的股票总市值的</w:t>
      </w:r>
      <w:r w:rsidRPr="00E100BD">
        <w:rPr>
          <w:rFonts w:ascii="彩虹粗仿宋" w:eastAsia="彩虹粗仿宋" w:hAnsi="宋体" w:cs="Arial"/>
          <w:sz w:val="24"/>
        </w:rPr>
        <w:t>20%</w:t>
      </w:r>
      <w:r w:rsidRPr="00E100BD">
        <w:rPr>
          <w:rFonts w:ascii="彩虹粗仿宋" w:eastAsia="彩虹粗仿宋" w:hAnsi="宋体" w:cs="Arial" w:hint="eastAsia"/>
          <w:sz w:val="24"/>
        </w:rPr>
        <w:t>；</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sz w:val="24"/>
        </w:rPr>
        <w:t>4</w:t>
      </w:r>
      <w:r w:rsidRPr="00E100BD">
        <w:rPr>
          <w:rFonts w:ascii="彩虹粗仿宋" w:eastAsia="彩虹粗仿宋" w:hAnsi="宋体" w:cs="Arial" w:hint="eastAsia"/>
          <w:sz w:val="24"/>
        </w:rPr>
        <w:t>）本基金所持有的股票市值和买入、卖出股指期货合约价值，合计（轧差计算）占基金资产的比例为</w:t>
      </w:r>
      <w:r w:rsidRPr="00E100BD">
        <w:rPr>
          <w:rFonts w:ascii="彩虹粗仿宋" w:eastAsia="彩虹粗仿宋" w:hAnsi="宋体" w:cs="Arial"/>
          <w:sz w:val="24"/>
        </w:rPr>
        <w:t>60-95%</w:t>
      </w:r>
      <w:r w:rsidRPr="00E100BD">
        <w:rPr>
          <w:rFonts w:ascii="彩虹粗仿宋" w:eastAsia="彩虹粗仿宋" w:hAnsi="宋体" w:cs="Arial" w:hint="eastAsia"/>
          <w:sz w:val="24"/>
        </w:rPr>
        <w:t>；</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sz w:val="24"/>
        </w:rPr>
        <w:t>5</w:t>
      </w:r>
      <w:r w:rsidRPr="00E100BD">
        <w:rPr>
          <w:rFonts w:ascii="彩虹粗仿宋" w:eastAsia="彩虹粗仿宋" w:hAnsi="宋体" w:cs="Arial" w:hint="eastAsia"/>
          <w:sz w:val="24"/>
        </w:rPr>
        <w:t>）本基金在任何交易日内交易（不包括平仓）的股指期货合约的成交金额不得超过上一交易日基金资产净值的</w:t>
      </w:r>
      <w:r w:rsidRPr="00E100BD">
        <w:rPr>
          <w:rFonts w:ascii="彩虹粗仿宋" w:eastAsia="彩虹粗仿宋" w:hAnsi="宋体" w:cs="Arial"/>
          <w:sz w:val="24"/>
        </w:rPr>
        <w:t>20%</w:t>
      </w:r>
      <w:r w:rsidRPr="00E100BD">
        <w:rPr>
          <w:rFonts w:ascii="彩虹粗仿宋" w:eastAsia="彩虹粗仿宋" w:hAnsi="宋体" w:cs="Arial" w:hint="eastAsia"/>
          <w:sz w:val="24"/>
        </w:rPr>
        <w:t>；</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17.本基金可以参与融资业务，在任何交易日日终，本基金持有的融资买入股票与其他有价证券市值之和，不得超过基金资产净值的</w:t>
      </w:r>
      <w:r w:rsidRPr="00420466">
        <w:rPr>
          <w:rFonts w:ascii="彩虹粗仿宋" w:eastAsia="彩虹粗仿宋"/>
          <w:sz w:val="24"/>
        </w:rPr>
        <w:t>95%</w:t>
      </w:r>
      <w:r w:rsidRPr="00420466">
        <w:rPr>
          <w:rFonts w:ascii="彩虹粗仿宋" w:eastAsia="彩虹粗仿宋" w:hint="eastAsia"/>
          <w:sz w:val="24"/>
        </w:rPr>
        <w:t>；</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18.本基金资产总值不得超过基金资产净值的140%；</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19.本基金管理人管理且由本基金托管人托管的全部开放式基金持有一家上市公司发行的可流通股票，不得超过该上市公司可流通股票的15%；本基金管理人</w:t>
      </w:r>
      <w:r w:rsidRPr="00420466">
        <w:rPr>
          <w:rFonts w:ascii="彩虹粗仿宋" w:eastAsia="彩虹粗仿宋" w:hint="eastAsia"/>
          <w:sz w:val="24"/>
        </w:rPr>
        <w:lastRenderedPageBreak/>
        <w:t>管理且由本基金托管人托管的全部投资组合持有一家上市公司发行的可流通股票，不得超过该上市公司可流通股票的30%；</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20.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w:t>
      </w:r>
    </w:p>
    <w:p w:rsidR="005C6419" w:rsidRPr="00420466" w:rsidRDefault="006C6D74">
      <w:pPr>
        <w:adjustRightInd w:val="0"/>
        <w:snapToGrid w:val="0"/>
        <w:ind w:firstLineChars="200" w:firstLine="480"/>
        <w:rPr>
          <w:rFonts w:ascii="彩虹粗仿宋" w:eastAsia="彩虹粗仿宋"/>
          <w:sz w:val="24"/>
        </w:rPr>
      </w:pPr>
      <w:r w:rsidRPr="00420466">
        <w:rPr>
          <w:rFonts w:ascii="彩虹粗仿宋" w:eastAsia="彩虹粗仿宋" w:hint="eastAsia"/>
          <w:sz w:val="24"/>
        </w:rPr>
        <w:t>21.法律法规及中国证监会规定的和基金合同约定的其他投资限制。</w:t>
      </w:r>
    </w:p>
    <w:p w:rsidR="005C6419" w:rsidRPr="006A16D3" w:rsidRDefault="006C6D74">
      <w:pPr>
        <w:adjustRightInd w:val="0"/>
        <w:snapToGrid w:val="0"/>
        <w:ind w:firstLineChars="200" w:firstLine="480"/>
        <w:rPr>
          <w:rFonts w:ascii="彩虹粗仿宋" w:eastAsia="彩虹粗仿宋" w:hAnsi="宋体" w:cs="Arial"/>
          <w:sz w:val="24"/>
        </w:rPr>
      </w:pPr>
      <w:r w:rsidRPr="00420466">
        <w:rPr>
          <w:rFonts w:ascii="彩虹粗仿宋" w:eastAsia="彩虹粗仿宋" w:hint="eastAsia"/>
          <w:sz w:val="24"/>
        </w:rPr>
        <w:t>除上述第2、12、20项</w:t>
      </w:r>
      <w:r w:rsidR="00E100BD" w:rsidRPr="00E100BD">
        <w:rPr>
          <w:rFonts w:ascii="彩虹粗仿宋" w:eastAsia="彩虹粗仿宋" w:hAnsi="宋体" w:cs="Arial" w:hint="eastAsia"/>
          <w:sz w:val="24"/>
        </w:rPr>
        <w:t>外，因证券、期货市场波动、证券发行人合并、基金规模变动、股权分置改革中支付对价等基金管理人之外的因素致使基金投资比例不符合上述规定投资比例的，基金管理人应当在10个交易日内进行调整。</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w:t>
      </w:r>
      <w:r>
        <w:rPr>
          <w:rFonts w:ascii="彩虹粗仿宋" w:eastAsia="彩虹粗仿宋" w:hAnsi="宋体" w:cs="Arial"/>
          <w:sz w:val="24"/>
        </w:rPr>
        <w:t>法律法规或监管部门</w:t>
      </w:r>
      <w:r>
        <w:rPr>
          <w:rFonts w:ascii="彩虹粗仿宋" w:eastAsia="彩虹粗仿宋" w:hAnsi="宋体" w:cs="Arial" w:hint="eastAsia"/>
          <w:sz w:val="24"/>
        </w:rPr>
        <w:t>对上述投资比例限制进行变更或</w:t>
      </w:r>
      <w:r>
        <w:rPr>
          <w:rFonts w:ascii="彩虹粗仿宋" w:eastAsia="彩虹粗仿宋" w:hAnsi="宋体" w:cs="Arial"/>
          <w:sz w:val="24"/>
        </w:rPr>
        <w:t>取消上述限制，</w:t>
      </w:r>
      <w:r>
        <w:rPr>
          <w:rFonts w:ascii="彩虹粗仿宋" w:eastAsia="彩虹粗仿宋" w:hAnsi="宋体" w:cs="Arial" w:hint="eastAsia"/>
          <w:sz w:val="24"/>
        </w:rPr>
        <w:t>且</w:t>
      </w:r>
      <w:r>
        <w:rPr>
          <w:rFonts w:ascii="彩虹粗仿宋" w:eastAsia="彩虹粗仿宋" w:hAnsi="宋体" w:cs="Arial"/>
          <w:sz w:val="24"/>
        </w:rPr>
        <w:t>适用于本基金，基金管理人</w:t>
      </w:r>
      <w:r>
        <w:rPr>
          <w:rFonts w:ascii="彩虹粗仿宋" w:eastAsia="彩虹粗仿宋" w:hAnsi="宋体" w:cs="Arial" w:hint="eastAsia"/>
          <w:sz w:val="24"/>
        </w:rPr>
        <w:t>在</w:t>
      </w:r>
      <w:r>
        <w:rPr>
          <w:rFonts w:ascii="彩虹粗仿宋" w:eastAsia="彩虹粗仿宋" w:hAnsi="宋体" w:cs="Arial"/>
          <w:sz w:val="24"/>
        </w:rPr>
        <w:t>履行适当程序后，则本基金投资不再受相关限制</w:t>
      </w:r>
      <w:r>
        <w:rPr>
          <w:rFonts w:ascii="彩虹粗仿宋" w:eastAsia="彩虹粗仿宋" w:hAnsi="宋体" w:cs="Arial" w:hint="eastAsia"/>
          <w:sz w:val="24"/>
        </w:rPr>
        <w:t>或以变更后的规定为准，但须提前公告</w:t>
      </w:r>
      <w:r>
        <w:rPr>
          <w:rFonts w:ascii="彩虹粗仿宋" w:eastAsia="彩虹粗仿宋" w:hAnsi="宋体" w:cs="Arial"/>
          <w:sz w:val="24"/>
        </w:rPr>
        <w:t>。</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对本托管协议第十五条第十二款基金投资禁止行为通过事后监督方式进行监督。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C6419" w:rsidRPr="006A16D3"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Pr>
          <w:rFonts w:ascii="彩虹粗仿宋" w:eastAsia="彩虹粗仿宋" w:hAnsi="宋体" w:cs="Arial" w:hint="eastAsia"/>
          <w:sz w:val="24"/>
        </w:rPr>
        <w:lastRenderedPageBreak/>
        <w:t>式的，应向基金托管人说明理由，并在与交易对手发生交易前3个工作日内与基金托管人协商解决。</w:t>
      </w:r>
    </w:p>
    <w:p w:rsidR="005C6419" w:rsidRPr="006A16D3"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负责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5C6419" w:rsidRDefault="00E100BD">
      <w:pPr>
        <w:adjustRightInd w:val="0"/>
        <w:snapToGrid w:val="0"/>
        <w:ind w:firstLineChars="200" w:firstLine="480"/>
        <w:rPr>
          <w:rFonts w:ascii="彩虹粗仿宋" w:eastAsia="彩虹粗仿宋" w:hAnsi="宋体" w:cs="Arial"/>
          <w:sz w:val="24"/>
        </w:rPr>
      </w:pPr>
      <w:r w:rsidRPr="00E100BD">
        <w:rPr>
          <w:rFonts w:ascii="彩虹粗仿宋" w:eastAsia="彩虹粗仿宋" w:hAnsi="宋体" w:cs="Arial" w:hint="eastAsia"/>
          <w:sz w:val="24"/>
        </w:rPr>
        <w:t>基金管理人投资流通受限证券，应事先根据中国证监会相关规定，明确基金投资流通受限证券的比例，</w:t>
      </w:r>
      <w:r w:rsidR="001D5019">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w:t>
      </w:r>
      <w:r>
        <w:rPr>
          <w:rFonts w:ascii="彩虹粗仿宋" w:eastAsia="彩虹粗仿宋" w:hAnsi="宋体" w:cs="Arial" w:hint="eastAsia"/>
          <w:sz w:val="24"/>
        </w:rPr>
        <w:lastRenderedPageBreak/>
        <w:t>公开发行股票相关流动性风险处置预案。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4.基金管理人应在本基金投资非公开发行股票后两日内，在中国证监会指定媒体披露所投资非公开发行股票的名称、数量、总成本、账面价值，以及总成本和账面价值占基金资产净值的比例、锁定期等信息。</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本基金有关投资流通受限证券比例如违反有关限制规定，在合理期限内未能进行及时调整，基金管理人应在两日内编制临时报告书，予以公告。5.基金托管人根据有关规定有权对基金管理人进行以下事项监督：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（4）信息披露情况。</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C6419" w:rsidRDefault="005C6419">
      <w:pPr>
        <w:rPr>
          <w:rFonts w:ascii="彩虹粗仿宋" w:eastAsia="彩虹粗仿宋"/>
          <w:sz w:val="24"/>
        </w:rPr>
      </w:pPr>
    </w:p>
    <w:p w:rsidR="005C6419" w:rsidRDefault="001D5019">
      <w:pPr>
        <w:pStyle w:val="2"/>
        <w:jc w:val="center"/>
        <w:rPr>
          <w:rFonts w:ascii="彩虹粗仿宋" w:eastAsia="彩虹粗仿宋"/>
          <w:sz w:val="30"/>
        </w:rPr>
      </w:pPr>
      <w:bookmarkStart w:id="7" w:name="_Toc120435783"/>
      <w:bookmarkStart w:id="8" w:name="_Toc119402710"/>
      <w:bookmarkStart w:id="9" w:name="_Toc118972648"/>
      <w:bookmarkStart w:id="10" w:name="_Toc124325888"/>
      <w:bookmarkStart w:id="11" w:name="_Toc86727355"/>
      <w:bookmarkStart w:id="12" w:name="_Toc118774803"/>
      <w:bookmarkStart w:id="13" w:name="_Toc110830492"/>
      <w:bookmarkStart w:id="14" w:name="_Toc118212950"/>
      <w:bookmarkStart w:id="15" w:name="_Toc110765660"/>
      <w:bookmarkStart w:id="16" w:name="_Toc108512358"/>
      <w:bookmarkStart w:id="17" w:name="_Toc86737929"/>
      <w:bookmarkStart w:id="18" w:name="_Toc110761796"/>
      <w:bookmarkStart w:id="19" w:name="_Toc89163368"/>
      <w:bookmarkStart w:id="20" w:name="_Toc86223242"/>
      <w:bookmarkStart w:id="21" w:name="_Toc86649722"/>
      <w:bookmarkStart w:id="22" w:name="_Toc86225291"/>
      <w:bookmarkStart w:id="23" w:name="_Toc86726439"/>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w:t>
      </w:r>
      <w:r>
        <w:rPr>
          <w:rFonts w:ascii="彩虹粗仿宋" w:eastAsia="彩虹粗仿宋" w:hAnsi="宋体" w:cs="Arial" w:hint="eastAsia"/>
          <w:sz w:val="24"/>
        </w:rPr>
        <w:lastRenderedPageBreak/>
        <w:t>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C6419" w:rsidRDefault="005C6419">
      <w:pPr>
        <w:rPr>
          <w:rFonts w:ascii="彩虹粗仿宋" w:eastAsia="彩虹粗仿宋"/>
          <w:sz w:val="24"/>
        </w:rPr>
      </w:pPr>
    </w:p>
    <w:p w:rsidR="005C6419" w:rsidRDefault="001D5019">
      <w:pPr>
        <w:pStyle w:val="2"/>
        <w:jc w:val="center"/>
        <w:rPr>
          <w:rFonts w:ascii="彩虹粗仿宋" w:eastAsia="彩虹粗仿宋"/>
          <w:sz w:val="30"/>
        </w:rPr>
      </w:pPr>
      <w:bookmarkStart w:id="24" w:name="_Toc124325889"/>
      <w:bookmarkStart w:id="25" w:name="_Toc84133786"/>
      <w:bookmarkStart w:id="26" w:name="_Toc118972649"/>
      <w:bookmarkStart w:id="27" w:name="_Toc119402711"/>
      <w:bookmarkStart w:id="28" w:name="_Toc120435784"/>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3.基金托管人按照规定开设基金财产的资金账户和证券账户等投资所需账户。</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w:t>
      </w:r>
      <w:r>
        <w:rPr>
          <w:rFonts w:ascii="彩虹粗仿宋" w:eastAsia="彩虹粗仿宋" w:hAnsi="宋体" w:cs="Arial" w:hint="eastAsia"/>
          <w:sz w:val="24"/>
        </w:rPr>
        <w:lastRenderedPageBreak/>
        <w:t>的“基金募集专户”。该账户由基金管理人开立并管理。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Pr>
          <w:rFonts w:ascii="彩虹粗仿宋" w:eastAsia="彩虹粗仿宋" w:hAnsi="宋体" w:cs="Arial" w:hint="eastAsia"/>
          <w:sz w:val="24"/>
        </w:rPr>
        <w:lastRenderedPageBreak/>
        <w:t>托管人签署的《托管银行证券资金结算协议》执行。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5C6419" w:rsidRDefault="001D5019">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5C6419" w:rsidRDefault="001D5019" w:rsidP="00F126EE">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rsidR="005C6419" w:rsidRDefault="005C6419">
      <w:pPr>
        <w:rPr>
          <w:rFonts w:ascii="彩虹粗仿宋" w:eastAsia="彩虹粗仿宋"/>
          <w:sz w:val="24"/>
        </w:rPr>
      </w:pPr>
    </w:p>
    <w:p w:rsidR="005C6419" w:rsidRDefault="001D5019">
      <w:pPr>
        <w:pStyle w:val="2"/>
        <w:jc w:val="center"/>
        <w:rPr>
          <w:rFonts w:ascii="彩虹粗仿宋" w:eastAsia="彩虹粗仿宋"/>
          <w:sz w:val="30"/>
        </w:rPr>
      </w:pPr>
      <w:bookmarkStart w:id="45" w:name="_Toc124325890"/>
      <w:bookmarkStart w:id="46" w:name="_Toc120435785"/>
      <w:bookmarkStart w:id="47" w:name="_Toc118774805"/>
      <w:bookmarkStart w:id="48" w:name="_Toc118972650"/>
      <w:bookmarkStart w:id="49" w:name="_Toc119402712"/>
      <w:bookmarkStart w:id="50" w:name="_Toc118212952"/>
      <w:bookmarkStart w:id="51" w:name="_Toc86727357"/>
      <w:bookmarkStart w:id="52" w:name="_Toc110765662"/>
      <w:bookmarkStart w:id="53" w:name="_Toc86223244"/>
      <w:bookmarkStart w:id="54" w:name="_Toc110761798"/>
      <w:bookmarkStart w:id="55" w:name="_Toc86649724"/>
      <w:bookmarkStart w:id="56" w:name="_Toc84133787"/>
      <w:bookmarkStart w:id="57" w:name="_Toc86726441"/>
      <w:bookmarkStart w:id="58" w:name="_Toc86225293"/>
      <w:bookmarkStart w:id="59" w:name="_Toc110830494"/>
      <w:bookmarkStart w:id="60" w:name="_Toc108512360"/>
      <w:bookmarkStart w:id="61" w:name="_Toc86737931"/>
      <w:bookmarkStart w:id="62" w:name="_Toc89163370"/>
      <w:bookmarkStart w:id="63" w:name="_Toc86204790"/>
      <w:bookmarkStart w:id="64" w:name="_Toc84234389"/>
      <w:bookmarkStart w:id="65" w:name="_Toc84234436"/>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w:t>
      </w:r>
      <w:r>
        <w:rPr>
          <w:rFonts w:ascii="彩虹粗仿宋" w:eastAsia="彩虹粗仿宋" w:hAnsi="宋体" w:cs="Arial" w:hint="eastAsia"/>
          <w:sz w:val="24"/>
        </w:rPr>
        <w:lastRenderedPageBreak/>
        <w:t>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5C6419" w:rsidRDefault="001D5019">
      <w:pPr>
        <w:pStyle w:val="a7"/>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在基金资金头寸充足的情况下，基金托管人对基金管理人符合法律法规、《基金合同》、本协议的指令不得拖延或拒绝执行。</w:t>
      </w:r>
    </w:p>
    <w:p w:rsidR="005C6419" w:rsidRDefault="001D5019">
      <w:pPr>
        <w:pStyle w:val="a7"/>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Pr>
          <w:rFonts w:ascii="彩虹粗仿宋" w:eastAsia="彩虹粗仿宋" w:hAnsi="宋体" w:cs="Arial" w:hint="eastAsia"/>
          <w:sz w:val="24"/>
        </w:rPr>
        <w:lastRenderedPageBreak/>
        <w:t>并加盖业务用章。</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基金托管人由于自身原因，未按照基金管理人发送的指令执行并对基金财产或投资人造成的直接损失，由基金托管人</w:t>
      </w:r>
      <w:r>
        <w:rPr>
          <w:rFonts w:ascii="彩虹粗仿宋" w:eastAsia="彩虹粗仿宋" w:hint="eastAsia"/>
          <w:sz w:val="24"/>
        </w:rPr>
        <w:t>赔偿由此造成的直接损失。</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66" w:name="_Toc86204791"/>
      <w:bookmarkStart w:id="67" w:name="_Toc110765663"/>
      <w:bookmarkStart w:id="68" w:name="_Toc108512361"/>
      <w:bookmarkStart w:id="69" w:name="_Toc110761799"/>
      <w:bookmarkStart w:id="70" w:name="_Toc120435786"/>
      <w:bookmarkStart w:id="71" w:name="_Toc86737932"/>
      <w:bookmarkStart w:id="72" w:name="_Toc86726442"/>
      <w:bookmarkStart w:id="73" w:name="_Toc89163371"/>
      <w:bookmarkStart w:id="74" w:name="_Toc124325891"/>
      <w:bookmarkStart w:id="75" w:name="_Toc86727358"/>
      <w:bookmarkStart w:id="76" w:name="_Toc86649725"/>
      <w:bookmarkStart w:id="77" w:name="_Toc84234437"/>
      <w:bookmarkStart w:id="78" w:name="_Toc84133788"/>
      <w:bookmarkStart w:id="79" w:name="_Toc118774806"/>
      <w:bookmarkStart w:id="80" w:name="_Toc118972651"/>
      <w:bookmarkStart w:id="81" w:name="_Toc118212953"/>
      <w:bookmarkStart w:id="82" w:name="_Toc86225294"/>
      <w:bookmarkStart w:id="83" w:name="_Toc110830495"/>
      <w:bookmarkStart w:id="84" w:name="_Toc119402713"/>
      <w:bookmarkStart w:id="85" w:name="_Toc86223245"/>
      <w:bookmarkStart w:id="86" w:name="_Toc84234390"/>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（一）选择证券、期货买卖的证券、期货经营机构</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5C6419" w:rsidRDefault="001D5019">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基金管理人与基金托管人应根据有关法律法规及相关业务规则，签订《托管</w:t>
      </w:r>
    </w:p>
    <w:p w:rsidR="005C6419" w:rsidRDefault="001D5019">
      <w:pPr>
        <w:adjustRightInd w:val="0"/>
        <w:snapToGrid w:val="0"/>
        <w:rPr>
          <w:rFonts w:ascii="彩虹粗仿宋" w:eastAsia="彩虹粗仿宋"/>
          <w:sz w:val="24"/>
        </w:rPr>
      </w:pPr>
      <w:r>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C6419" w:rsidRDefault="001D5019">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的投资交易资金</w:t>
      </w:r>
      <w:r>
        <w:rPr>
          <w:rFonts w:ascii="彩虹粗仿宋" w:eastAsia="彩虹粗仿宋" w:hAnsi="宋体" w:cs="宋体" w:hint="eastAsia"/>
          <w:color w:val="000000"/>
          <w:kern w:val="0"/>
          <w:sz w:val="24"/>
        </w:rPr>
        <w:t>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基金管理人和基金托管人每交易日结束后核对证券账目，确保双方账目相符。基金管理人和基金托管人每月月末核对实物证券账目。</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为满足申购、赎回及分红资金汇划的需要，由基金管理人开立资金清算的专用账户，该账户由登记机构管理。</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当存在托管账户净应付额时，如基金银行账户有足够的资金，基金托管人应按时拨付；因基金银行账户没有足够的资金，导致基金托管人不能按时拨付，如系基金管理人的原因造成，责任由基金管理人承担，基金托管人不承担垫款义务。</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5C6419"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3.本基金开展基金转换业务应按相关法律法规规定及《基金合同》的约定进行公告。</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1.基金管理人确定分红方案通知基金托管人，双方核定后依照《信息披露办法》的有关规定在中国证监会指定媒体上公告并报中国证监会备案。</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612DC6" w:rsidRDefault="001D5019">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C6419" w:rsidRDefault="001D5019">
      <w:pPr>
        <w:pStyle w:val="2"/>
        <w:jc w:val="center"/>
        <w:rPr>
          <w:rFonts w:ascii="彩虹粗仿宋" w:eastAsia="彩虹粗仿宋"/>
          <w:sz w:val="30"/>
        </w:rPr>
      </w:pPr>
      <w:bookmarkStart w:id="87" w:name="_Toc124325892"/>
      <w:r>
        <w:rPr>
          <w:rFonts w:ascii="彩虹粗仿宋" w:eastAsia="彩虹粗仿宋" w:hint="eastAsia"/>
          <w:sz w:val="30"/>
        </w:rPr>
        <w:t xml:space="preserve"> 八、基金资产净值计算和会计核算</w:t>
      </w:r>
      <w:bookmarkEnd w:id="87"/>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w:t>
      </w:r>
      <w:r>
        <w:rPr>
          <w:rFonts w:ascii="彩虹粗仿宋" w:eastAsia="彩虹粗仿宋" w:hAnsi="宋体" w:cs="Arial" w:hint="eastAsia"/>
          <w:sz w:val="24"/>
        </w:rPr>
        <w:lastRenderedPageBreak/>
        <w:t>个交易日闭市后，基金资产净值除以当日基金份额的余额数量计算，精确到0.0001元，小数点后第五位四舍五入。国家另有规定的，从其规定。</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基金管理人每个交易日计算基金资产净值及各类基金份额净值，并按规定公告。</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管理人应每个交易日对基金资产估值。但基金管理人根据法律法规或《基金合同》的规定暂停估值时除外。基金管理人每个交易日对基金资产估值后，将各类基金份额净值结果发送基金托管人，经基金托管人复核无误后，由基金管理人对外公布。</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1.估值对象</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基金所拥有的股票、权证、债券、股指期货合约、银行存款本息、应收款项、其它投资等资产及负债。</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2.估值方法</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C6419" w:rsidRDefault="001D5019">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②首次公开发行未上市的股票、权证，采用估值技术确定公允价值，在估值技术难以可靠计量公允价值的情况下，按成本估值；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③首次公开发行有明确锁定期的股票及非公开发行有明确锁定期的股票，按监管机构或行业协会有关规定确定公允价值。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（3）交易所市场交易的</w:t>
      </w:r>
      <w:r>
        <w:rPr>
          <w:rFonts w:ascii="彩虹粗仿宋" w:eastAsia="彩虹粗仿宋" w:hAnsi="宋体" w:cs="Arial"/>
          <w:sz w:val="24"/>
        </w:rPr>
        <w:t>固定收益品种</w:t>
      </w:r>
      <w:r>
        <w:rPr>
          <w:rFonts w:ascii="彩虹粗仿宋" w:eastAsia="彩虹粗仿宋" w:hAnsi="宋体" w:cs="Arial" w:hint="eastAsia"/>
          <w:sz w:val="24"/>
        </w:rPr>
        <w:t>的估值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w:t>
      </w:r>
      <w:r>
        <w:rPr>
          <w:rFonts w:ascii="彩虹粗仿宋" w:eastAsia="彩虹粗仿宋" w:hAnsi="宋体" w:cs="Arial" w:hint="eastAsia"/>
          <w:sz w:val="24"/>
        </w:rPr>
        <w:lastRenderedPageBreak/>
        <w:t>当日的估值净价进行估值；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②对在交易所市场上市交易的可转换债券，按照每日收盘价作为估值全价;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（4）全国银行间市场交易品种的估值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①银行间市场交易的固定收益品种，选取第三方估值机构提供的相应品种当日的估值净价进行估值；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②对银行间市场未上市，且第三方估值机构未提供估值价格的债券，在发行利率与二级市场利率不存在明显差异，未上市期间市场利率没有发生大的变动的情况下，按成本估值。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（5）同一证券同时在两个或两个以上市场交易的，按证券所处的市场分别估值。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（6）因持有股票而享有的配股权，采用估值技术确定公允价值，在估值技术难以可靠计量公允价值的情况下，按成本估值。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（7）股指期货合约以估值当日结算价进行估值，估值当日无结算价的，且最近交易日后经济环境未发生重大变化的，采用最近交易日结算价估值。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（9）当本基金发生大额申购或赎回情形时，本基金管理人可以采用摆动定价机制，以确保基金估值的公平性。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（10）相关法律法规以及监管部门有强制规定的，从其规定。如有新增事项，按国家最新规定估值。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C6419" w:rsidRPr="006A16D3"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w:t>
      </w:r>
      <w:r>
        <w:rPr>
          <w:rFonts w:ascii="彩虹粗仿宋" w:eastAsia="彩虹粗仿宋" w:hAnsi="宋体" w:cs="Arial" w:hint="eastAsia"/>
          <w:sz w:val="24"/>
        </w:rPr>
        <w:lastRenderedPageBreak/>
        <w:t>计问题，如经相关各方在平等基础上充分讨论后，仍无法达成一致意见的，基金管理人向基金托管人出具加盖公章的书面说明后，按照基金管理人对基金资产净值的计算结果对外予以公</w:t>
      </w:r>
      <w:r w:rsidR="00E100BD" w:rsidRPr="00E100BD">
        <w:rPr>
          <w:rFonts w:ascii="彩虹粗仿宋" w:eastAsia="彩虹粗仿宋" w:hAnsi="宋体" w:cs="Arial" w:hint="eastAsia"/>
          <w:sz w:val="24"/>
        </w:rPr>
        <w:t>布。</w:t>
      </w:r>
    </w:p>
    <w:p w:rsidR="00612DC6" w:rsidRPr="00730B8B" w:rsidRDefault="00E100BD">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sz w:val="24"/>
        </w:rPr>
        <w:t>3.</w:t>
      </w:r>
      <w:r w:rsidRPr="00730B8B">
        <w:rPr>
          <w:rFonts w:ascii="彩虹粗仿宋" w:eastAsia="彩虹粗仿宋" w:hAnsi="宋体" w:cs="Arial" w:hint="eastAsia"/>
          <w:sz w:val="24"/>
        </w:rPr>
        <w:t>特殊情形的处理</w:t>
      </w:r>
    </w:p>
    <w:p w:rsidR="00612DC6" w:rsidRPr="00730B8B"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hint="eastAsia"/>
          <w:sz w:val="24"/>
        </w:rPr>
        <w:t>基金管理人、基金托管人按估值方法的第</w:t>
      </w:r>
      <w:r w:rsidRPr="00730B8B">
        <w:rPr>
          <w:rFonts w:ascii="彩虹粗仿宋" w:eastAsia="彩虹粗仿宋" w:hAnsi="宋体" w:cs="Arial"/>
          <w:sz w:val="24"/>
        </w:rPr>
        <w:t>(8)</w:t>
      </w:r>
      <w:r w:rsidRPr="00730B8B">
        <w:rPr>
          <w:rFonts w:ascii="彩虹粗仿宋" w:eastAsia="彩虹粗仿宋" w:hAnsi="宋体" w:cs="Arial" w:hint="eastAsia"/>
          <w:sz w:val="24"/>
        </w:rPr>
        <w:t>项进行估值时，所造成的误差不作为基金份额净值错误处理。</w:t>
      </w:r>
    </w:p>
    <w:p w:rsidR="00612DC6" w:rsidRPr="00730B8B"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hint="eastAsia"/>
          <w:sz w:val="24"/>
        </w:rPr>
        <w:t>由于不可抗力，或证券、期货交易所、登记结算公司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12DC6" w:rsidRPr="00730B8B"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hint="eastAsia"/>
          <w:sz w:val="24"/>
        </w:rPr>
        <w:t>（三）基金份额净值错误的处理方式</w:t>
      </w:r>
    </w:p>
    <w:p w:rsidR="00612DC6" w:rsidRPr="00730B8B"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sz w:val="24"/>
        </w:rPr>
        <w:t>1.</w:t>
      </w:r>
      <w:r w:rsidRPr="00730B8B">
        <w:rPr>
          <w:rFonts w:ascii="彩虹粗仿宋" w:eastAsia="彩虹粗仿宋" w:hAnsi="宋体" w:cs="Arial" w:hint="eastAsia"/>
          <w:sz w:val="24"/>
        </w:rPr>
        <w:t>当任一类基金份额净值小数点后</w:t>
      </w:r>
      <w:r w:rsidRPr="00730B8B">
        <w:rPr>
          <w:rFonts w:ascii="彩虹粗仿宋" w:eastAsia="彩虹粗仿宋" w:hAnsi="宋体" w:cs="Arial"/>
          <w:sz w:val="24"/>
        </w:rPr>
        <w:t>4</w:t>
      </w:r>
      <w:r w:rsidRPr="00730B8B">
        <w:rPr>
          <w:rFonts w:ascii="彩虹粗仿宋" w:eastAsia="彩虹粗仿宋" w:hAnsi="宋体" w:cs="Arial" w:hint="eastAsia"/>
          <w:sz w:val="24"/>
        </w:rPr>
        <w:t>位以内</w:t>
      </w:r>
      <w:r w:rsidRPr="00730B8B">
        <w:rPr>
          <w:rFonts w:ascii="彩虹粗仿宋" w:eastAsia="彩虹粗仿宋" w:hAnsi="宋体" w:cs="Arial"/>
          <w:sz w:val="24"/>
        </w:rPr>
        <w:t>(</w:t>
      </w:r>
      <w:r w:rsidRPr="00730B8B">
        <w:rPr>
          <w:rFonts w:ascii="彩虹粗仿宋" w:eastAsia="彩虹粗仿宋" w:hAnsi="宋体" w:cs="Arial" w:hint="eastAsia"/>
          <w:sz w:val="24"/>
        </w:rPr>
        <w:t>含第</w:t>
      </w:r>
      <w:r w:rsidRPr="00730B8B">
        <w:rPr>
          <w:rFonts w:ascii="彩虹粗仿宋" w:eastAsia="彩虹粗仿宋" w:hAnsi="宋体" w:cs="Arial"/>
          <w:sz w:val="24"/>
        </w:rPr>
        <w:t>4</w:t>
      </w:r>
      <w:r w:rsidRPr="00730B8B">
        <w:rPr>
          <w:rFonts w:ascii="彩虹粗仿宋" w:eastAsia="彩虹粗仿宋" w:hAnsi="宋体" w:cs="Arial" w:hint="eastAsia"/>
          <w:sz w:val="24"/>
        </w:rPr>
        <w:t>位</w:t>
      </w:r>
      <w:r w:rsidRPr="00730B8B">
        <w:rPr>
          <w:rFonts w:ascii="彩虹粗仿宋" w:eastAsia="彩虹粗仿宋" w:hAnsi="宋体" w:cs="Arial"/>
          <w:sz w:val="24"/>
        </w:rPr>
        <w:t>)</w:t>
      </w:r>
      <w:r w:rsidRPr="00730B8B">
        <w:rPr>
          <w:rFonts w:ascii="彩虹粗仿宋" w:eastAsia="彩虹粗仿宋" w:hAnsi="宋体" w:cs="Arial" w:hint="eastAsia"/>
          <w:sz w:val="24"/>
        </w:rPr>
        <w:t>发生差错时，视为该类基金份额净值错误；基金份额净值出现错误时，基金管理人应当立即予以纠正，通报基金托管人，并采取合理的措施防止损失进一步扩大；错误偏差达到该类基金份额净值的</w:t>
      </w:r>
      <w:r w:rsidRPr="00730B8B">
        <w:rPr>
          <w:rFonts w:ascii="彩虹粗仿宋" w:eastAsia="彩虹粗仿宋" w:hAnsi="宋体" w:cs="Arial"/>
          <w:sz w:val="24"/>
        </w:rPr>
        <w:t>0.25%</w:t>
      </w:r>
      <w:r w:rsidRPr="00730B8B">
        <w:rPr>
          <w:rFonts w:ascii="彩虹粗仿宋" w:eastAsia="彩虹粗仿宋" w:hAnsi="宋体" w:cs="Arial" w:hint="eastAsia"/>
          <w:sz w:val="24"/>
        </w:rPr>
        <w:t>时，基金管理人应当通报基金托管人并报中国证监会备案</w:t>
      </w:r>
      <w:r w:rsidRPr="00E100BD">
        <w:rPr>
          <w:rFonts w:ascii="彩虹粗仿宋" w:eastAsia="彩虹粗仿宋" w:hAnsi="宋体" w:cs="Arial" w:hint="eastAsia"/>
          <w:sz w:val="24"/>
        </w:rPr>
        <w:t>；错误偏差达到该类基金份额净值的0.5%时，基金管理人应当公告</w:t>
      </w:r>
      <w:r w:rsidRPr="00730B8B">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rsidR="00612DC6" w:rsidRPr="00730B8B"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sz w:val="24"/>
        </w:rPr>
        <w:t>2.</w:t>
      </w:r>
      <w:r w:rsidRPr="00730B8B">
        <w:rPr>
          <w:rFonts w:ascii="彩虹粗仿宋" w:eastAsia="彩虹粗仿宋"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rsidR="00612DC6" w:rsidRDefault="00E100BD" w:rsidP="00730B8B">
      <w:pPr>
        <w:adjustRightInd w:val="0"/>
        <w:snapToGrid w:val="0"/>
        <w:ind w:firstLineChars="200" w:firstLine="480"/>
        <w:rPr>
          <w:rFonts w:ascii="彩虹粗仿宋" w:eastAsia="彩虹粗仿宋" w:hAnsi="宋体" w:cs="Arial"/>
          <w:sz w:val="24"/>
        </w:rPr>
      </w:pPr>
      <w:r w:rsidRPr="00730B8B">
        <w:rPr>
          <w:rFonts w:ascii="彩虹粗仿宋" w:eastAsia="彩虹粗仿宋" w:hAnsi="宋体" w:cs="Arial"/>
          <w:sz w:val="24"/>
        </w:rPr>
        <w:t>(1)</w:t>
      </w:r>
      <w:r w:rsidRPr="00730B8B">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1D5019">
        <w:rPr>
          <w:rFonts w:ascii="彩虹粗仿宋" w:eastAsia="彩虹粗仿宋" w:hAnsi="宋体" w:cs="Arial" w:hint="eastAsia"/>
          <w:sz w:val="24"/>
        </w:rPr>
        <w:t>损失，由基金管理人负责赔付。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E100BD" w:rsidRPr="00E100BD">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Pr>
          <w:rFonts w:ascii="彩虹粗仿宋" w:eastAsia="彩虹粗仿宋" w:hAnsi="宋体" w:cs="Arial" w:hint="eastAsia"/>
          <w:sz w:val="24"/>
        </w:rPr>
        <w:lastRenderedPageBreak/>
        <w:t>金管理人负责赔付。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E100BD" w:rsidRPr="00E100BD">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3.基金管理人和基金托管人由于各自技术系统设置而产生的净值计算尾差，以基金管理人计算结果为准。</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当前一估值日基金资产净值50%以上的资产出现无可参考的活跃市场价格且采用估值技术仍导致公允价值存在重大不确定性时，经与基金托管人协商一致的，基金管理人应当暂停基金估值；</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（五）基金会计制度</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（六）基金账册的建立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w:t>
      </w:r>
      <w:r>
        <w:rPr>
          <w:rFonts w:ascii="彩虹粗仿宋" w:eastAsia="彩虹粗仿宋" w:hAnsi="宋体" w:cs="Arial" w:hint="eastAsia"/>
          <w:sz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(2)报表的复核</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5C6419" w:rsidRDefault="001D501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C6419" w:rsidRDefault="005C6419">
      <w:pPr>
        <w:pStyle w:val="a0"/>
        <w:adjustRightInd w:val="0"/>
        <w:snapToGrid w:val="0"/>
        <w:ind w:firstLineChars="0" w:firstLine="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420466" w:rsidRPr="00420466" w:rsidRDefault="00420466" w:rsidP="004204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1.本基金各基金份额类别在费用收取上不同，其对应的可分配收益可能有所不同</w:t>
      </w:r>
      <w:r>
        <w:rPr>
          <w:rFonts w:ascii="彩虹粗仿宋" w:eastAsia="彩虹粗仿宋" w:hAnsi="宋体" w:cs="Arial"/>
          <w:sz w:val="24"/>
        </w:rPr>
        <w:t>；</w:t>
      </w:r>
      <w:r>
        <w:rPr>
          <w:rFonts w:ascii="彩虹粗仿宋" w:eastAsia="彩虹粗仿宋" w:hAnsi="宋体" w:cs="Arial" w:hint="eastAsia"/>
          <w:sz w:val="24"/>
        </w:rPr>
        <w:t>本基金同一类别的</w:t>
      </w:r>
      <w:r>
        <w:rPr>
          <w:rFonts w:ascii="彩虹粗仿宋" w:eastAsia="彩虹粗仿宋" w:hAnsi="宋体" w:cs="Arial"/>
          <w:sz w:val="24"/>
        </w:rPr>
        <w:t>每一基金份额享有同等分配权；</w:t>
      </w:r>
    </w:p>
    <w:p w:rsidR="00612DC6" w:rsidRDefault="004204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001D5019">
        <w:rPr>
          <w:rFonts w:ascii="彩虹粗仿宋" w:eastAsia="彩虹粗仿宋" w:hAnsi="宋体" w:cs="Arial" w:hint="eastAsia"/>
          <w:sz w:val="24"/>
        </w:rPr>
        <w:t>.本基金收益分配方式分为两种：现金分红与红利再投资；投资者可选择现金红利或</w:t>
      </w:r>
      <w:r w:rsidR="001D5019">
        <w:rPr>
          <w:rFonts w:ascii="彩虹粗仿宋" w:eastAsia="彩虹粗仿宋" w:hAnsi="宋体" w:cs="Arial"/>
          <w:sz w:val="24"/>
        </w:rPr>
        <w:t>将现金红利</w:t>
      </w:r>
      <w:r w:rsidR="001D5019">
        <w:rPr>
          <w:rFonts w:ascii="彩虹粗仿宋" w:eastAsia="彩虹粗仿宋" w:hAnsi="宋体" w:cs="Arial" w:hint="eastAsia"/>
          <w:sz w:val="24"/>
        </w:rPr>
        <w:t>按照除权除息日的该类别基金份额净值</w:t>
      </w:r>
      <w:r w:rsidR="001D5019">
        <w:rPr>
          <w:rFonts w:ascii="彩虹粗仿宋" w:eastAsia="彩虹粗仿宋" w:hAnsi="宋体" w:cs="Arial"/>
          <w:sz w:val="24"/>
        </w:rPr>
        <w:t>自动转为</w:t>
      </w:r>
      <w:r w:rsidR="001D5019">
        <w:rPr>
          <w:rFonts w:ascii="彩虹粗仿宋" w:eastAsia="彩虹粗仿宋" w:hAnsi="宋体" w:cs="Arial" w:hint="eastAsia"/>
          <w:sz w:val="24"/>
        </w:rPr>
        <w:t>相应类别</w:t>
      </w:r>
      <w:r w:rsidR="001D5019">
        <w:rPr>
          <w:rFonts w:ascii="彩虹粗仿宋" w:eastAsia="彩虹粗仿宋" w:hAnsi="宋体" w:cs="Arial"/>
          <w:sz w:val="24"/>
        </w:rPr>
        <w:t>基金份额进行再投资；若投资者不选择，本基金默认的收益分配方式是现金分红</w:t>
      </w:r>
      <w:r w:rsidR="001D5019">
        <w:rPr>
          <w:rFonts w:ascii="彩虹粗仿宋" w:eastAsia="彩虹粗仿宋" w:hAnsi="宋体" w:cs="Arial" w:hint="eastAsia"/>
          <w:sz w:val="24"/>
        </w:rPr>
        <w:t>；</w:t>
      </w:r>
    </w:p>
    <w:p w:rsidR="00612DC6" w:rsidRDefault="0042046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1D5019">
        <w:rPr>
          <w:rFonts w:ascii="彩虹粗仿宋" w:eastAsia="彩虹粗仿宋" w:hAnsi="宋体" w:cs="Arial" w:hint="eastAsia"/>
          <w:sz w:val="24"/>
        </w:rPr>
        <w:t>.基金收益分配后各类基金份额净值不能低于面值；即基金收益分配基准日的各类基金份额净值减去每单位该类基金份额收益分配金额后不能低于面值；</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4.法律法规或监管机构另有规定的，从其规定。</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612DC6"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本基金收益分配方案由基金管理人拟订，并由基金托管人复核，在2个工作日内在指定媒体公告并报中国证监会备案。</w:t>
      </w:r>
      <w:r w:rsidR="00E100BD" w:rsidRPr="00E100BD">
        <w:rPr>
          <w:rFonts w:ascii="彩虹粗仿宋" w:eastAsia="彩虹粗仿宋" w:hAnsi="宋体" w:cs="Arial" w:hint="eastAsia"/>
          <w:sz w:val="24"/>
        </w:rPr>
        <w:t>基金红利发放日距离收益分配基准日（即可供分配利润计算截止日）的时间不得超过15个工作日。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w:t>
      </w:r>
      <w:r>
        <w:rPr>
          <w:rFonts w:ascii="彩虹粗仿宋" w:eastAsia="彩虹粗仿宋" w:hAnsi="宋体" w:cs="Arial" w:hint="eastAsia"/>
          <w:sz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w:t>
      </w:r>
      <w:r>
        <w:rPr>
          <w:rFonts w:ascii="彩虹粗仿宋" w:eastAsia="彩虹粗仿宋" w:hAnsi="宋体" w:cs="Arial" w:hint="eastAsia"/>
          <w:sz w:val="24"/>
        </w:rPr>
        <w:lastRenderedPageBreak/>
        <w:t>和限时披露的义务。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媒介或基金托管人的互联网网站公开披露。</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 基金投资所涉及的证券、期货交易所遇法定节假日或因其他原因暂停营业时；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因不可抗力致使基金管理人、基金托管人无法准确评估基金资产价值时；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(3)法律法规规定、中国证监会或基金合同认定的其他情形。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C6419" w:rsidRDefault="005C6419">
      <w:pPr>
        <w:pStyle w:val="a0"/>
        <w:ind w:firstLineChars="0" w:firstLine="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本基金的管理费按前一日基金资产净值的1.50%年费率计提。管理费的计算方法如下：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H为每日应计提的基金托管费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（三）销售服务费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w:t>
      </w:r>
      <w:r w:rsidR="000B709A">
        <w:rPr>
          <w:rFonts w:ascii="彩虹粗仿宋" w:eastAsia="彩虹粗仿宋" w:hAnsi="宋体" w:cs="Arial" w:hint="eastAsia"/>
          <w:sz w:val="24"/>
        </w:rPr>
        <w:t>0.25</w:t>
      </w:r>
      <w:r>
        <w:rPr>
          <w:rFonts w:ascii="彩虹粗仿宋" w:eastAsia="彩虹粗仿宋" w:hAnsi="宋体" w:cs="Arial" w:hint="eastAsia"/>
          <w:sz w:val="24"/>
        </w:rPr>
        <w:t>%。销售服务费主要用于本基金持续销售以及基金份额持有人服务等各项费用。</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在通常情况下，C类基金份额销售服务费按前一日C类基金份额资产净值的</w:t>
      </w:r>
      <w:r w:rsidR="000B709A">
        <w:rPr>
          <w:rFonts w:ascii="彩虹粗仿宋" w:eastAsia="彩虹粗仿宋" w:hAnsi="宋体" w:cs="Arial" w:hint="eastAsia"/>
          <w:sz w:val="24"/>
        </w:rPr>
        <w:t>0.25</w:t>
      </w:r>
      <w:r>
        <w:rPr>
          <w:rFonts w:ascii="彩虹粗仿宋" w:eastAsia="彩虹粗仿宋" w:hAnsi="宋体" w:cs="Arial" w:hint="eastAsia"/>
          <w:sz w:val="24"/>
        </w:rPr>
        <w:t>%年费率计提。C类基金份额的销售服务费计提的计算公式如下：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H=E×年销售服务费率÷当年天数</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H为每日应计提的C类基金份额销售服务费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E为前一日的C类基金份额的基金资产净值</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账户开户费用、投资标的交易费用、基金财产划拨支付的银行费用、账户维护费、《基金合同》生效后与基金相关的信息披露费用、基金份额持有人大会费用、《基金合同》生效后与基金有关的会计师费、律师费、仲裁费和诉讼费等根据有关法律法规、《基金合同》及相应协议的规定，列入当期基金费用。</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（四）不列入基金费用的项目</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下列费用不列入基金费用：</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1、基金管理人和基金托管人因未履行或未完全履行义务导致的费用支出或基金财产的损失；</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2、基金管理人和基金托管人处理与基金运作无关的事项发生的费用；</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3、基金合同生效前的相关费用；</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4、其他根据相关法律法规及中国证监会的有关规定不得列入基金费用的项目。</w:t>
      </w:r>
      <w:bookmarkStart w:id="91" w:name="_Hlt88827255"/>
      <w:bookmarkEnd w:id="91"/>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（五）基金管理费、基金托管费和销售服务费的复核程序、支付方式和时间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销售服务费每日计提，逐日累计至每月月末，按月支付。经基金管理人与基金托管人核对一致后，基金托管人于次月首日起3个工作日内、按照指定的账户路径进行资金支付，基金管理人无需再出具资金划拨指令。若遇法定节假日、休息日或不可抗力等，支付日期顺延。费用自动扣划后，基金管理</w:t>
      </w:r>
      <w:bookmarkStart w:id="92" w:name="_GoBack"/>
      <w:bookmarkEnd w:id="92"/>
      <w:r>
        <w:rPr>
          <w:rFonts w:ascii="彩虹粗仿宋" w:eastAsia="彩虹粗仿宋" w:hAnsi="宋体" w:cs="Arial" w:hint="eastAsia"/>
          <w:sz w:val="24"/>
        </w:rPr>
        <w:t>人应进行核对，如发现数据不符，及时联系基金托管人协商解决。</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w:t>
      </w:r>
      <w:r>
        <w:rPr>
          <w:rFonts w:ascii="彩虹粗仿宋" w:eastAsia="彩虹粗仿宋" w:hAnsi="宋体" w:cs="Arial" w:hint="eastAsia"/>
          <w:sz w:val="24"/>
        </w:rPr>
        <w:lastRenderedPageBreak/>
        <w:t>理费的收款账户。基金管理人如需要变更此账户，应提前5个工作日向托管人出具书面的收款账户变更通知。</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（六）违规处理方式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3" w:name="_Toc124325896"/>
      <w:r>
        <w:rPr>
          <w:rFonts w:ascii="彩虹粗仿宋" w:eastAsia="彩虹粗仿宋" w:hint="eastAsia"/>
          <w:sz w:val="30"/>
        </w:rPr>
        <w:t>十二、基金份额持有人名册的保管</w:t>
      </w:r>
      <w:bookmarkEnd w:id="93"/>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4" w:name="_Toc124325897"/>
      <w:r>
        <w:rPr>
          <w:rFonts w:ascii="彩虹粗仿宋" w:eastAsia="彩虹粗仿宋" w:hint="eastAsia"/>
          <w:sz w:val="30"/>
        </w:rPr>
        <w:t>十三、基金有关文件档案的保存</w:t>
      </w:r>
      <w:bookmarkEnd w:id="94"/>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年，法律法规另有规定或有权机关另有要求的除外。</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5C6419" w:rsidRDefault="001D5019">
      <w:pPr>
        <w:adjustRightInd w:val="0"/>
        <w:snapToGrid w:val="0"/>
        <w:ind w:firstLineChars="200" w:firstLine="480"/>
        <w:rPr>
          <w:rFonts w:ascii="彩虹粗仿宋" w:eastAsia="彩虹粗仿宋"/>
          <w:b/>
          <w:bCs/>
          <w:sz w:val="30"/>
          <w:szCs w:val="30"/>
        </w:rPr>
      </w:pPr>
      <w:r>
        <w:rPr>
          <w:rFonts w:ascii="彩虹粗仿宋" w:eastAsia="彩虹粗仿宋" w:hAnsi="宋体" w:cs="Arial" w:hint="eastAsia"/>
          <w:sz w:val="24"/>
        </w:rPr>
        <w:t>若基金管理人/基金托管人发生变更，未变更的一方有义务协助变更后的接任</w:t>
      </w:r>
      <w:r>
        <w:rPr>
          <w:rFonts w:ascii="彩虹粗仿宋" w:eastAsia="彩虹粗仿宋" w:hAnsi="宋体" w:cs="Arial" w:hint="eastAsia"/>
          <w:sz w:val="24"/>
        </w:rPr>
        <w:lastRenderedPageBreak/>
        <w:t>人接收相应文件。</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（四）基金管理人和基金托管人应按各自职责完整保存原始凭证、记账凭证、基金账册、交易记录和重要合同等，承担保密义务并保存至少十五年以上，法律法规另有规定或有权机关另有要求的除外。</w:t>
      </w:r>
    </w:p>
    <w:p w:rsidR="005C6419" w:rsidRDefault="005C6419">
      <w:pPr>
        <w:adjustRightInd w:val="0"/>
        <w:snapToGrid w:val="0"/>
        <w:rPr>
          <w:rFonts w:ascii="彩虹粗仿宋" w:eastAsia="彩虹粗仿宋"/>
          <w:sz w:val="30"/>
          <w:szCs w:val="30"/>
        </w:rPr>
      </w:pPr>
    </w:p>
    <w:p w:rsidR="005C6419" w:rsidRDefault="001D5019">
      <w:pPr>
        <w:pStyle w:val="2"/>
        <w:jc w:val="center"/>
        <w:rPr>
          <w:rFonts w:ascii="彩虹粗仿宋" w:eastAsia="彩虹粗仿宋"/>
          <w:sz w:val="30"/>
        </w:rPr>
      </w:pPr>
      <w:bookmarkStart w:id="95" w:name="_Toc124325898"/>
      <w:r>
        <w:rPr>
          <w:rFonts w:ascii="彩虹粗仿宋" w:eastAsia="彩虹粗仿宋" w:hint="eastAsia"/>
          <w:sz w:val="30"/>
        </w:rPr>
        <w:t>十四、基金管理人和基金托管人的更换</w:t>
      </w:r>
      <w:bookmarkEnd w:id="95"/>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被基金份额持有人大会解任；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依法解散、被依法撤销或被依法宣告破产；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(4)备案：基金份额持有人大会选任基金管理人的决议须报中国证监会备案；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w:t>
      </w:r>
      <w:r>
        <w:rPr>
          <w:rFonts w:ascii="彩虹粗仿宋" w:eastAsia="彩虹粗仿宋" w:hAnsi="宋体" w:cs="Arial" w:hint="eastAsia"/>
          <w:sz w:val="24"/>
        </w:rPr>
        <w:lastRenderedPageBreak/>
        <w:t>用从基金财产中列支；</w:t>
      </w:r>
    </w:p>
    <w:p w:rsidR="005C6419" w:rsidRDefault="001D50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 xml:space="preserve"> (2)被基金份额持有人大会解任；</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(3)依法解散、被依法撤销或被依法宣告破产；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(4)备案：基金份额持有人大会选任基金托管人的决议须报中国证监会备案；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w:t>
      </w:r>
      <w:r>
        <w:rPr>
          <w:rFonts w:ascii="彩虹粗仿宋" w:eastAsia="彩虹粗仿宋" w:hAnsi="宋体" w:cs="Arial" w:hint="eastAsia"/>
          <w:sz w:val="24"/>
        </w:rPr>
        <w:lastRenderedPageBreak/>
        <w:t>的基金份额持有人大会决议生效后2个工作日内在指定媒介上联合公告。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C6419" w:rsidRDefault="005C6419">
      <w:pPr>
        <w:adjustRightInd w:val="0"/>
        <w:snapToGrid w:val="0"/>
        <w:ind w:firstLineChars="200" w:firstLine="480"/>
        <w:rPr>
          <w:rFonts w:ascii="彩虹粗仿宋" w:eastAsia="彩虹粗仿宋" w:hAnsi="宋体" w:cs="Arial"/>
          <w:sz w:val="24"/>
        </w:rPr>
      </w:pP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6" w:name="_Toc124325899"/>
      <w:r>
        <w:rPr>
          <w:rFonts w:ascii="彩虹粗仿宋" w:eastAsia="彩虹粗仿宋" w:hint="eastAsia"/>
          <w:sz w:val="30"/>
        </w:rPr>
        <w:t>十五、禁止行为</w:t>
      </w:r>
      <w:bookmarkEnd w:id="96"/>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w:t>
      </w:r>
      <w:r>
        <w:rPr>
          <w:rFonts w:ascii="彩虹粗仿宋" w:eastAsia="彩虹粗仿宋" w:hint="eastAsia"/>
          <w:sz w:val="24"/>
        </w:rPr>
        <w:t>或职务之便</w:t>
      </w:r>
      <w:r>
        <w:rPr>
          <w:rFonts w:ascii="彩虹粗仿宋" w:eastAsia="彩虹粗仿宋" w:hAnsi="宋体" w:cs="Arial" w:hint="eastAsia"/>
          <w:sz w:val="24"/>
        </w:rPr>
        <w:t>为基金份额持有人以外的第三人牟取利益。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 其高级管理人员和其他从业人员相互兼职。</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（八）基金管理人、基金托管人侵占、挪用基金财产。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（九）基金管理人、基金托管人泄露因职务便利获取的未公开信息、利用该信息从事或者明示、暗示他人从事相关的交易活动。</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（十）基金管理人、基金托管人玩忽职守，不按照规定履行职责。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（十一）基金托管人私自动用或处分基金财产，根据基金管理人的合法指令、</w:t>
      </w:r>
      <w:r>
        <w:rPr>
          <w:rFonts w:ascii="彩虹粗仿宋" w:eastAsia="彩虹粗仿宋" w:hAnsi="宋体" w:cs="Arial" w:hint="eastAsia"/>
          <w:sz w:val="24"/>
        </w:rPr>
        <w:lastRenderedPageBreak/>
        <w:t>《基金合同》或托管协议的规定进行处分的除外。</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二）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w:t>
      </w:r>
      <w:r>
        <w:rPr>
          <w:bCs/>
          <w:sz w:val="24"/>
        </w:rPr>
        <w:t>中国证监会</w:t>
      </w:r>
      <w:r>
        <w:rPr>
          <w:rFonts w:ascii="彩虹粗仿宋" w:eastAsia="彩虹粗仿宋" w:hAnsi="宋体" w:cs="Arial" w:hint="eastAsia"/>
          <w:sz w:val="24"/>
        </w:rPr>
        <w:t>规定禁止的其他活动。</w:t>
      </w:r>
      <w:r>
        <w:rPr>
          <w:rFonts w:ascii="彩虹粗仿宋" w:eastAsia="彩虹粗仿宋" w:hint="eastAsia"/>
          <w:sz w:val="24"/>
        </w:rPr>
        <w:t>上述禁止行为是基于《基金合同》生效时法律法规而约定，</w:t>
      </w:r>
      <w:r>
        <w:rPr>
          <w:rFonts w:ascii="彩虹粗仿宋" w:eastAsia="彩虹粗仿宋" w:hAnsi="宋体" w:cs="Arial" w:hint="eastAsia"/>
          <w:sz w:val="24"/>
        </w:rPr>
        <w:t>如法律法规或监管部门取消或变更上述限制，如适用于本基金，基金管理人在履行适当程序后，则本基金投资不再受相关限制以变更后的规定为准；基金管理人应提前三个交易日公告。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w:t>
      </w:r>
      <w:r w:rsidR="00730B8B">
        <w:rPr>
          <w:rFonts w:ascii="彩虹粗仿宋" w:eastAsia="彩虹粗仿宋" w:hAnsi="宋体" w:cs="Arial" w:hint="eastAsia"/>
          <w:sz w:val="24"/>
        </w:rPr>
        <w:t>三</w:t>
      </w:r>
      <w:r>
        <w:rPr>
          <w:rFonts w:ascii="彩虹粗仿宋" w:eastAsia="彩虹粗仿宋" w:hAnsi="宋体" w:cs="Arial" w:hint="eastAsia"/>
          <w:sz w:val="24"/>
        </w:rPr>
        <w:t>）法律法规和《基金合同》禁止的其他行为，以及依照法律、行政法规有关规定，由</w:t>
      </w:r>
      <w:r>
        <w:rPr>
          <w:rFonts w:ascii="彩虹粗仿宋" w:eastAsia="彩虹粗仿宋" w:hint="eastAsia"/>
          <w:sz w:val="24"/>
        </w:rPr>
        <w:t>中国证监会</w:t>
      </w:r>
      <w:r>
        <w:rPr>
          <w:rFonts w:ascii="彩虹粗仿宋" w:eastAsia="彩虹粗仿宋" w:hAnsi="宋体" w:cs="Arial" w:hint="eastAsia"/>
          <w:sz w:val="24"/>
        </w:rPr>
        <w:t>规定禁止基金管理人、基金托管人从事的其他行为。</w:t>
      </w:r>
    </w:p>
    <w:p w:rsidR="005C6419" w:rsidRDefault="005C6419">
      <w:pPr>
        <w:adjustRightInd w:val="0"/>
        <w:snapToGrid w:val="0"/>
        <w:rPr>
          <w:rFonts w:ascii="彩虹粗仿宋" w:eastAsia="彩虹粗仿宋"/>
          <w:sz w:val="30"/>
          <w:szCs w:val="30"/>
        </w:rPr>
      </w:pPr>
    </w:p>
    <w:p w:rsidR="005C6419" w:rsidRDefault="001D5019">
      <w:pPr>
        <w:pStyle w:val="2"/>
        <w:jc w:val="center"/>
        <w:rPr>
          <w:rFonts w:ascii="彩虹粗仿宋" w:eastAsia="彩虹粗仿宋"/>
          <w:sz w:val="30"/>
        </w:rPr>
      </w:pPr>
      <w:bookmarkStart w:id="97" w:name="_Toc124325900"/>
      <w:r>
        <w:rPr>
          <w:rFonts w:ascii="彩虹粗仿宋" w:eastAsia="彩虹粗仿宋" w:hint="eastAsia"/>
          <w:sz w:val="30"/>
        </w:rPr>
        <w:t>十六、托管协议的变更、终止与基金财产的清算</w:t>
      </w:r>
      <w:bookmarkEnd w:id="97"/>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5C6419" w:rsidRDefault="001D50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4.基金财产清算程序：</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5.基金财产清算的期限为6个月。</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8" w:name="_Toc124325901"/>
      <w:r>
        <w:rPr>
          <w:rFonts w:ascii="彩虹粗仿宋" w:eastAsia="彩虹粗仿宋" w:hint="eastAsia"/>
          <w:sz w:val="30"/>
        </w:rPr>
        <w:t>十七、违约责任</w:t>
      </w:r>
      <w:bookmarkEnd w:id="98"/>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w:t>
      </w:r>
      <w:r>
        <w:rPr>
          <w:rFonts w:ascii="彩虹粗仿宋" w:eastAsia="彩虹粗仿宋" w:hAnsi="宋体" w:cs="Arial" w:hint="eastAsia"/>
          <w:sz w:val="24"/>
        </w:rPr>
        <w:lastRenderedPageBreak/>
        <w:t>基金财产或者基金份额持有人造成损害的，应当承担连带赔偿责任。对损失的赔偿，仅限于直接损失。</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2.基金管理人和/或基金托管人按照当时有效的法律法规或中国证监会的规定作为或不作为而造成的损失等；</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3.基金管理人由于按照《基金合同》规定投资或不投资造成的损失等。</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Pr>
          <w:rFonts w:ascii="彩虹粗仿宋" w:eastAsia="彩虹粗仿宋" w:hAnsi="宋体" w:cs="Arial"/>
          <w:sz w:val="24"/>
        </w:rPr>
        <w:t>在发生一方或多方违约的情况下，在最大限度地保护基金份额持有人利益的前提下，基金合同能够继续履行的应当继续履行。非违约方</w:t>
      </w:r>
      <w:r>
        <w:rPr>
          <w:rFonts w:ascii="彩虹粗仿宋" w:eastAsia="彩虹粗仿宋" w:hAnsi="宋体" w:cs="Arial" w:hint="eastAsia"/>
          <w:sz w:val="24"/>
        </w:rPr>
        <w:t>当事人在职责范围内有义务及时采取必要的措施，防止损失的扩大。没有采取适当措施致使损失进一步扩大的，不得就扩大的损失要求赔偿。非违约方因防止损失扩大而支出的合理费用由违约方承担。</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C6419" w:rsidRDefault="005C6419">
      <w:pPr>
        <w:adjustRightInd w:val="0"/>
        <w:snapToGrid w:val="0"/>
        <w:outlineLvl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99" w:name="_Toc124325902"/>
      <w:r>
        <w:rPr>
          <w:rFonts w:ascii="彩虹粗仿宋" w:eastAsia="彩虹粗仿宋" w:hint="eastAsia"/>
          <w:sz w:val="30"/>
        </w:rPr>
        <w:t>十八、争议解决方式</w:t>
      </w:r>
      <w:bookmarkEnd w:id="99"/>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各方当事人同意，</w:t>
      </w:r>
      <w:r>
        <w:rPr>
          <w:rFonts w:ascii="彩虹粗仿宋" w:eastAsia="彩虹粗仿宋" w:hAnsi="宋体" w:cs="Arial" w:hint="eastAsia"/>
          <w:sz w:val="24"/>
        </w:rPr>
        <w:t>因本协议产生或与之相关的争议，</w:t>
      </w:r>
      <w:r>
        <w:rPr>
          <w:rFonts w:ascii="彩虹粗仿宋" w:eastAsia="彩虹粗仿宋" w:hAnsi="宋体" w:cs="Arial"/>
          <w:sz w:val="24"/>
        </w:rPr>
        <w:t>如经</w:t>
      </w:r>
      <w:r>
        <w:rPr>
          <w:rFonts w:ascii="彩虹粗仿宋" w:eastAsia="彩虹粗仿宋" w:hAnsi="宋体" w:cs="Arial" w:hint="eastAsia"/>
          <w:sz w:val="24"/>
        </w:rPr>
        <w:t>一方书面提出协商解决争议之日起60日内争议未能以协商方式解决的，</w:t>
      </w:r>
      <w:r>
        <w:rPr>
          <w:rFonts w:ascii="彩虹粗仿宋" w:eastAsia="彩虹粗仿宋" w:hAnsi="宋体" w:cs="Arial"/>
          <w:sz w:val="24"/>
        </w:rPr>
        <w:t>应</w:t>
      </w:r>
      <w:r>
        <w:rPr>
          <w:rFonts w:ascii="彩虹粗仿宋" w:eastAsia="彩虹粗仿宋" w:hAnsi="宋体" w:cs="Arial" w:hint="eastAsia"/>
          <w:sz w:val="24"/>
        </w:rPr>
        <w:t>提交中国国际经济贸易仲裁委员会按照当时有效的仲裁规则进行仲裁，仲裁地点为北京市。仲裁裁决是终局的，对仲裁各方当事人均具有约束力。仲裁费和律师费由败诉方承担。</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争议处理期间，各方当事人应恪守各自的职责，继续忠实、勤勉、尽责地履行《基金合同》和本托管协议规定的义务，维护基金份额持有人的合法权益。</w:t>
      </w:r>
    </w:p>
    <w:p w:rsidR="005C6419" w:rsidRDefault="001D501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本协议受中国法律管辖。</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100" w:name="_Toc124325903"/>
      <w:r>
        <w:rPr>
          <w:rFonts w:ascii="彩虹粗仿宋" w:eastAsia="彩虹粗仿宋" w:hint="eastAsia"/>
          <w:sz w:val="30"/>
        </w:rPr>
        <w:lastRenderedPageBreak/>
        <w:t>十九、托管协议的效力</w:t>
      </w:r>
      <w:bookmarkEnd w:id="100"/>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（一）托管协议应经托管协议当事人双方盖章以及双方法定代表人或授权代表签章。托管协议以中国证监会注册的文本为正式文本。</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5C6419" w:rsidRDefault="001D501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5C6419" w:rsidRDefault="005C6419">
      <w:pPr>
        <w:adjustRightInd w:val="0"/>
        <w:snapToGrid w:val="0"/>
        <w:rPr>
          <w:rFonts w:ascii="彩虹粗仿宋" w:eastAsia="彩虹粗仿宋" w:hAnsi="宋体" w:cs="Arial"/>
          <w:sz w:val="24"/>
        </w:rPr>
      </w:pPr>
    </w:p>
    <w:p w:rsidR="005C6419" w:rsidRDefault="001D5019">
      <w:pPr>
        <w:pStyle w:val="2"/>
        <w:jc w:val="center"/>
        <w:rPr>
          <w:rFonts w:ascii="彩虹粗仿宋" w:eastAsia="彩虹粗仿宋"/>
          <w:sz w:val="30"/>
        </w:rPr>
      </w:pPr>
      <w:bookmarkStart w:id="101" w:name="_Toc124325904"/>
      <w:r>
        <w:rPr>
          <w:rFonts w:ascii="彩虹粗仿宋" w:eastAsia="彩虹粗仿宋" w:hint="eastAsia"/>
          <w:sz w:val="30"/>
        </w:rPr>
        <w:t>二十、其他事项</w:t>
      </w:r>
      <w:bookmarkEnd w:id="101"/>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C6419" w:rsidRDefault="005C6419">
      <w:pPr>
        <w:adjustRightInd w:val="0"/>
        <w:snapToGrid w:val="0"/>
        <w:rPr>
          <w:rFonts w:ascii="彩虹粗仿宋" w:eastAsia="彩虹粗仿宋"/>
          <w:b/>
          <w:bCs/>
        </w:rPr>
      </w:pPr>
    </w:p>
    <w:p w:rsidR="005C6419" w:rsidRDefault="001D5019">
      <w:pPr>
        <w:pStyle w:val="2"/>
        <w:jc w:val="center"/>
        <w:rPr>
          <w:rFonts w:ascii="彩虹粗仿宋" w:eastAsia="彩虹粗仿宋"/>
          <w:sz w:val="30"/>
        </w:rPr>
      </w:pPr>
      <w:bookmarkStart w:id="102" w:name="_Toc124325905"/>
      <w:r>
        <w:rPr>
          <w:rFonts w:ascii="彩虹粗仿宋" w:eastAsia="彩虹粗仿宋" w:hint="eastAsia"/>
          <w:sz w:val="30"/>
        </w:rPr>
        <w:t>二十一、托管协议的签订</w:t>
      </w:r>
      <w:bookmarkEnd w:id="102"/>
    </w:p>
    <w:p w:rsidR="005C6419" w:rsidRDefault="001D501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5C6419" w:rsidRDefault="005C6419"/>
    <w:sectPr w:rsidR="005C6419" w:rsidSect="005C6419">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D89" w:rsidRDefault="00FB7D89" w:rsidP="005C6419">
      <w:r>
        <w:separator/>
      </w:r>
    </w:p>
  </w:endnote>
  <w:endnote w:type="continuationSeparator" w:id="1">
    <w:p w:rsidR="00FB7D89" w:rsidRDefault="00FB7D89" w:rsidP="005C64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D89" w:rsidRDefault="00FB7D89" w:rsidP="005C6419">
      <w:r>
        <w:separator/>
      </w:r>
    </w:p>
  </w:footnote>
  <w:footnote w:type="continuationSeparator" w:id="1">
    <w:p w:rsidR="00FB7D89" w:rsidRDefault="00FB7D89" w:rsidP="005C641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ow">
    <w15:presenceInfo w15:providerId="None" w15:userId="maow"/>
  </w15:person>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846"/>
    <w:rsid w:val="00090304"/>
    <w:rsid w:val="000B709A"/>
    <w:rsid w:val="00145BA0"/>
    <w:rsid w:val="0015698E"/>
    <w:rsid w:val="001960CC"/>
    <w:rsid w:val="001D5019"/>
    <w:rsid w:val="00257AFC"/>
    <w:rsid w:val="00302991"/>
    <w:rsid w:val="003A0846"/>
    <w:rsid w:val="00420466"/>
    <w:rsid w:val="004332FF"/>
    <w:rsid w:val="004867AB"/>
    <w:rsid w:val="005C6419"/>
    <w:rsid w:val="00612DC6"/>
    <w:rsid w:val="00626369"/>
    <w:rsid w:val="0066230E"/>
    <w:rsid w:val="006A16D3"/>
    <w:rsid w:val="006C6D74"/>
    <w:rsid w:val="00730B8B"/>
    <w:rsid w:val="008C4DC9"/>
    <w:rsid w:val="0090750A"/>
    <w:rsid w:val="0093473F"/>
    <w:rsid w:val="009D46C6"/>
    <w:rsid w:val="00B251A4"/>
    <w:rsid w:val="00BA501F"/>
    <w:rsid w:val="00CF0630"/>
    <w:rsid w:val="00D11F4E"/>
    <w:rsid w:val="00D15A9A"/>
    <w:rsid w:val="00D2742A"/>
    <w:rsid w:val="00D514AB"/>
    <w:rsid w:val="00DC03CC"/>
    <w:rsid w:val="00DD548B"/>
    <w:rsid w:val="00DF0F04"/>
    <w:rsid w:val="00E100BD"/>
    <w:rsid w:val="00ED6CDD"/>
    <w:rsid w:val="00F126EE"/>
    <w:rsid w:val="00F71EDC"/>
    <w:rsid w:val="00FB7D89"/>
    <w:rsid w:val="00FC24CB"/>
    <w:rsid w:val="2CF3111F"/>
    <w:rsid w:val="61FD70D0"/>
    <w:rsid w:val="6A2B0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nhideWhenUsed="0"/>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lsdException w:name="Strong" w:semiHidden="0" w:uiPriority="0" w:unhideWhenUsed="0" w:qFormat="1"/>
    <w:lsdException w:name="Emphasis" w:semiHidden="0" w:uiPriority="20" w:unhideWhenUsed="0" w:qFormat="1"/>
    <w:lsdException w:name="Normal (Web)" w:semiHidden="0" w:uiPriority="0" w:unhideWhenUsed="0" w:qFormat="1"/>
    <w:lsdException w:name="HTML Preformatted" w:semiHidden="0" w:qFormat="1"/>
    <w:lsdException w:name="Normal Table" w:qFormat="1"/>
    <w:lsdException w:name="annotation subject" w:semiHidden="0" w:uiPriority="0" w:unhideWhenUsed="0" w:qFormat="1"/>
    <w:lsdException w:name="Balloon Text"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19"/>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rsid w:val="005C6419"/>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C6419"/>
    <w:pPr>
      <w:ind w:firstLineChars="200" w:firstLine="420"/>
    </w:pPr>
  </w:style>
  <w:style w:type="paragraph" w:styleId="a4">
    <w:name w:val="annotation subject"/>
    <w:basedOn w:val="a5"/>
    <w:next w:val="a5"/>
    <w:link w:val="Char1"/>
    <w:qFormat/>
    <w:rsid w:val="005C6419"/>
    <w:rPr>
      <w:b/>
      <w:bCs/>
    </w:rPr>
  </w:style>
  <w:style w:type="paragraph" w:styleId="a5">
    <w:name w:val="annotation text"/>
    <w:basedOn w:val="a"/>
    <w:link w:val="Char10"/>
    <w:uiPriority w:val="99"/>
    <w:unhideWhenUsed/>
    <w:qFormat/>
    <w:rsid w:val="005C6419"/>
    <w:pPr>
      <w:jc w:val="left"/>
    </w:pPr>
  </w:style>
  <w:style w:type="paragraph" w:styleId="7">
    <w:name w:val="toc 7"/>
    <w:basedOn w:val="a"/>
    <w:next w:val="a"/>
    <w:semiHidden/>
    <w:qFormat/>
    <w:rsid w:val="005C6419"/>
    <w:pPr>
      <w:ind w:leftChars="1200" w:left="2520"/>
    </w:pPr>
  </w:style>
  <w:style w:type="paragraph" w:styleId="a6">
    <w:name w:val="Body Text"/>
    <w:basedOn w:val="a"/>
    <w:link w:val="Char11"/>
    <w:qFormat/>
    <w:rsid w:val="005C6419"/>
    <w:pPr>
      <w:spacing w:line="360" w:lineRule="auto"/>
    </w:pPr>
    <w:rPr>
      <w:rFonts w:ascii="仿宋_GB2312" w:eastAsia="仿宋_GB2312"/>
      <w:color w:val="000000"/>
      <w:kern w:val="0"/>
      <w:sz w:val="24"/>
      <w:szCs w:val="28"/>
    </w:rPr>
  </w:style>
  <w:style w:type="paragraph" w:styleId="a7">
    <w:name w:val="Body Text Indent"/>
    <w:basedOn w:val="a"/>
    <w:link w:val="Char12"/>
    <w:qFormat/>
    <w:rsid w:val="005C6419"/>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rsid w:val="005C6419"/>
    <w:pPr>
      <w:ind w:leftChars="800" w:left="1680"/>
    </w:pPr>
  </w:style>
  <w:style w:type="paragraph" w:styleId="3">
    <w:name w:val="toc 3"/>
    <w:basedOn w:val="a"/>
    <w:next w:val="a"/>
    <w:semiHidden/>
    <w:qFormat/>
    <w:rsid w:val="005C6419"/>
    <w:pPr>
      <w:ind w:leftChars="400" w:left="840"/>
    </w:pPr>
  </w:style>
  <w:style w:type="paragraph" w:styleId="8">
    <w:name w:val="toc 8"/>
    <w:basedOn w:val="a"/>
    <w:next w:val="a"/>
    <w:semiHidden/>
    <w:qFormat/>
    <w:rsid w:val="005C6419"/>
    <w:pPr>
      <w:ind w:leftChars="1400" w:left="2940"/>
    </w:pPr>
  </w:style>
  <w:style w:type="paragraph" w:styleId="20">
    <w:name w:val="Body Text Indent 2"/>
    <w:basedOn w:val="a"/>
    <w:link w:val="2Char1"/>
    <w:qFormat/>
    <w:rsid w:val="005C6419"/>
    <w:pPr>
      <w:spacing w:line="360" w:lineRule="auto"/>
      <w:ind w:firstLine="525"/>
    </w:pPr>
    <w:rPr>
      <w:rFonts w:ascii="宋体" w:hAnsi="宋体"/>
      <w:sz w:val="28"/>
      <w:szCs w:val="20"/>
    </w:rPr>
  </w:style>
  <w:style w:type="paragraph" w:styleId="a8">
    <w:name w:val="Balloon Text"/>
    <w:basedOn w:val="a"/>
    <w:link w:val="Char13"/>
    <w:semiHidden/>
    <w:qFormat/>
    <w:rsid w:val="005C6419"/>
    <w:rPr>
      <w:sz w:val="18"/>
      <w:szCs w:val="18"/>
    </w:rPr>
  </w:style>
  <w:style w:type="paragraph" w:styleId="a9">
    <w:name w:val="footer"/>
    <w:basedOn w:val="a"/>
    <w:link w:val="Char14"/>
    <w:uiPriority w:val="99"/>
    <w:unhideWhenUsed/>
    <w:qFormat/>
    <w:rsid w:val="005C6419"/>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Char15"/>
    <w:uiPriority w:val="99"/>
    <w:unhideWhenUsed/>
    <w:qFormat/>
    <w:rsid w:val="005C64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rsid w:val="005C6419"/>
  </w:style>
  <w:style w:type="paragraph" w:styleId="4">
    <w:name w:val="toc 4"/>
    <w:basedOn w:val="a"/>
    <w:next w:val="a"/>
    <w:semiHidden/>
    <w:qFormat/>
    <w:rsid w:val="005C6419"/>
    <w:pPr>
      <w:ind w:leftChars="600" w:left="1260"/>
    </w:pPr>
  </w:style>
  <w:style w:type="paragraph" w:styleId="6">
    <w:name w:val="toc 6"/>
    <w:basedOn w:val="a"/>
    <w:next w:val="a"/>
    <w:semiHidden/>
    <w:qFormat/>
    <w:rsid w:val="005C6419"/>
    <w:pPr>
      <w:ind w:leftChars="1000" w:left="2100"/>
    </w:pPr>
  </w:style>
  <w:style w:type="paragraph" w:styleId="30">
    <w:name w:val="Body Text Indent 3"/>
    <w:basedOn w:val="a"/>
    <w:link w:val="3Char1"/>
    <w:qFormat/>
    <w:rsid w:val="005C6419"/>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rsid w:val="005C6419"/>
    <w:pPr>
      <w:ind w:leftChars="200" w:left="420"/>
    </w:pPr>
  </w:style>
  <w:style w:type="paragraph" w:styleId="9">
    <w:name w:val="toc 9"/>
    <w:basedOn w:val="a"/>
    <w:next w:val="a"/>
    <w:semiHidden/>
    <w:qFormat/>
    <w:rsid w:val="005C6419"/>
    <w:pPr>
      <w:ind w:leftChars="1600" w:left="3360"/>
    </w:pPr>
  </w:style>
  <w:style w:type="paragraph" w:styleId="HTML">
    <w:name w:val="HTML Preformatted"/>
    <w:basedOn w:val="a"/>
    <w:link w:val="HTMLChar1"/>
    <w:uiPriority w:val="99"/>
    <w:unhideWhenUsed/>
    <w:qFormat/>
    <w:rsid w:val="005C64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5C6419"/>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sid w:val="005C6419"/>
    <w:rPr>
      <w:b/>
      <w:bCs/>
    </w:rPr>
  </w:style>
  <w:style w:type="character" w:styleId="ad">
    <w:name w:val="page number"/>
    <w:basedOn w:val="a1"/>
    <w:qFormat/>
    <w:rsid w:val="005C6419"/>
  </w:style>
  <w:style w:type="character" w:styleId="ae">
    <w:name w:val="FollowedHyperlink"/>
    <w:uiPriority w:val="99"/>
    <w:unhideWhenUsed/>
    <w:rsid w:val="005C6419"/>
    <w:rPr>
      <w:color w:val="800080"/>
      <w:u w:val="single"/>
    </w:rPr>
  </w:style>
  <w:style w:type="character" w:styleId="af">
    <w:name w:val="Hyperlink"/>
    <w:rsid w:val="005C6419"/>
    <w:rPr>
      <w:color w:val="0000FF"/>
      <w:u w:val="single"/>
    </w:rPr>
  </w:style>
  <w:style w:type="character" w:styleId="af0">
    <w:name w:val="annotation reference"/>
    <w:uiPriority w:val="99"/>
    <w:rsid w:val="005C6419"/>
    <w:rPr>
      <w:sz w:val="21"/>
      <w:szCs w:val="21"/>
    </w:rPr>
  </w:style>
  <w:style w:type="character" w:customStyle="1" w:styleId="2Char">
    <w:name w:val="标题 2 Char"/>
    <w:basedOn w:val="a1"/>
    <w:link w:val="2"/>
    <w:rsid w:val="005C6419"/>
    <w:rPr>
      <w:rFonts w:ascii="Arial" w:eastAsia="黑体" w:hAnsi="Arial" w:cs="Times New Roman"/>
      <w:b/>
      <w:kern w:val="0"/>
      <w:sz w:val="32"/>
      <w:szCs w:val="20"/>
    </w:rPr>
  </w:style>
  <w:style w:type="character" w:customStyle="1" w:styleId="3Char">
    <w:name w:val="正文文本缩进 3 Char"/>
    <w:link w:val="30"/>
    <w:qFormat/>
    <w:rsid w:val="005C6419"/>
    <w:rPr>
      <w:rFonts w:ascii="仿宋_GB2312" w:eastAsia="仿宋_GB2312" w:hAnsi="宋体" w:cs="Arial"/>
      <w:color w:val="000000"/>
      <w:sz w:val="24"/>
      <w:szCs w:val="24"/>
    </w:rPr>
  </w:style>
  <w:style w:type="character" w:customStyle="1" w:styleId="Char">
    <w:name w:val="正文文本缩进 Char"/>
    <w:link w:val="a7"/>
    <w:qFormat/>
    <w:rsid w:val="005C6419"/>
    <w:rPr>
      <w:rFonts w:ascii="Times New Roman" w:eastAsia="方正仿宋简体" w:hAnsi="Times New Roman" w:cs="Times New Roman"/>
      <w:sz w:val="24"/>
      <w:szCs w:val="30"/>
    </w:rPr>
  </w:style>
  <w:style w:type="character" w:customStyle="1" w:styleId="read">
    <w:name w:val="read"/>
    <w:basedOn w:val="a1"/>
    <w:qFormat/>
    <w:rsid w:val="005C6419"/>
  </w:style>
  <w:style w:type="character" w:customStyle="1" w:styleId="Char0">
    <w:name w:val="批注文字 Char"/>
    <w:uiPriority w:val="99"/>
    <w:qFormat/>
    <w:rsid w:val="005C6419"/>
    <w:rPr>
      <w:rFonts w:ascii="Times New Roman" w:eastAsia="宋体" w:hAnsi="Times New Roman" w:cs="Times New Roman"/>
      <w:szCs w:val="24"/>
    </w:rPr>
  </w:style>
  <w:style w:type="character" w:customStyle="1" w:styleId="Char2">
    <w:name w:val="批注框文本 Char"/>
    <w:link w:val="a8"/>
    <w:semiHidden/>
    <w:qFormat/>
    <w:rsid w:val="005C6419"/>
    <w:rPr>
      <w:rFonts w:ascii="Times New Roman" w:eastAsia="宋体" w:hAnsi="Times New Roman" w:cs="Times New Roman"/>
      <w:sz w:val="18"/>
      <w:szCs w:val="18"/>
    </w:rPr>
  </w:style>
  <w:style w:type="character" w:customStyle="1" w:styleId="HTMLChar">
    <w:name w:val="HTML 预设格式 Char"/>
    <w:link w:val="HTML"/>
    <w:uiPriority w:val="99"/>
    <w:rsid w:val="005C6419"/>
    <w:rPr>
      <w:rFonts w:ascii="宋体" w:eastAsia="宋体" w:hAnsi="宋体" w:cs="宋体"/>
      <w:kern w:val="0"/>
      <w:sz w:val="24"/>
      <w:szCs w:val="24"/>
    </w:rPr>
  </w:style>
  <w:style w:type="character" w:customStyle="1" w:styleId="Char3">
    <w:name w:val="批注主题 Char"/>
    <w:link w:val="a4"/>
    <w:qFormat/>
    <w:rsid w:val="005C6419"/>
    <w:rPr>
      <w:rFonts w:ascii="Times New Roman" w:eastAsia="宋体" w:hAnsi="Times New Roman" w:cs="Times New Roman"/>
      <w:b/>
      <w:bCs/>
      <w:szCs w:val="24"/>
    </w:rPr>
  </w:style>
  <w:style w:type="character" w:customStyle="1" w:styleId="2Char0">
    <w:name w:val="正文文本缩进 2 Char"/>
    <w:link w:val="20"/>
    <w:rsid w:val="005C6419"/>
    <w:rPr>
      <w:rFonts w:ascii="宋体" w:eastAsia="宋体" w:hAnsi="宋体" w:cs="Times New Roman"/>
      <w:sz w:val="28"/>
      <w:szCs w:val="20"/>
    </w:rPr>
  </w:style>
  <w:style w:type="character" w:customStyle="1" w:styleId="Char4">
    <w:name w:val="页眉 Char"/>
    <w:link w:val="aa"/>
    <w:uiPriority w:val="99"/>
    <w:qFormat/>
    <w:rsid w:val="005C6419"/>
    <w:rPr>
      <w:sz w:val="18"/>
      <w:szCs w:val="18"/>
    </w:rPr>
  </w:style>
  <w:style w:type="character" w:customStyle="1" w:styleId="Char5">
    <w:name w:val="页脚 Char"/>
    <w:link w:val="a9"/>
    <w:uiPriority w:val="99"/>
    <w:rsid w:val="005C6419"/>
    <w:rPr>
      <w:sz w:val="18"/>
      <w:szCs w:val="18"/>
    </w:rPr>
  </w:style>
  <w:style w:type="character" w:customStyle="1" w:styleId="Char6">
    <w:name w:val="正文文本 Char"/>
    <w:link w:val="a6"/>
    <w:qFormat/>
    <w:rsid w:val="005C6419"/>
    <w:rPr>
      <w:rFonts w:ascii="仿宋_GB2312" w:eastAsia="仿宋_GB2312" w:hAnsi="Times New Roman" w:cs="Times New Roman"/>
      <w:color w:val="000000"/>
      <w:kern w:val="0"/>
      <w:sz w:val="24"/>
      <w:szCs w:val="28"/>
    </w:rPr>
  </w:style>
  <w:style w:type="character" w:customStyle="1" w:styleId="Char12">
    <w:name w:val="正文文本缩进 Char1"/>
    <w:basedOn w:val="a1"/>
    <w:link w:val="a7"/>
    <w:uiPriority w:val="99"/>
    <w:semiHidden/>
    <w:qFormat/>
    <w:rsid w:val="005C6419"/>
    <w:rPr>
      <w:rFonts w:ascii="Times New Roman" w:eastAsia="宋体" w:hAnsi="Times New Roman" w:cs="Times New Roman"/>
      <w:szCs w:val="24"/>
    </w:rPr>
  </w:style>
  <w:style w:type="character" w:customStyle="1" w:styleId="2Char1">
    <w:name w:val="正文文本缩进 2 Char1"/>
    <w:basedOn w:val="a1"/>
    <w:link w:val="20"/>
    <w:uiPriority w:val="99"/>
    <w:semiHidden/>
    <w:qFormat/>
    <w:rsid w:val="005C6419"/>
    <w:rPr>
      <w:rFonts w:ascii="Times New Roman" w:eastAsia="宋体" w:hAnsi="Times New Roman" w:cs="Times New Roman"/>
      <w:szCs w:val="24"/>
    </w:rPr>
  </w:style>
  <w:style w:type="character" w:customStyle="1" w:styleId="Char10">
    <w:name w:val="批注文字 Char1"/>
    <w:basedOn w:val="a1"/>
    <w:link w:val="a5"/>
    <w:uiPriority w:val="99"/>
    <w:semiHidden/>
    <w:qFormat/>
    <w:rsid w:val="005C6419"/>
    <w:rPr>
      <w:rFonts w:ascii="Times New Roman" w:eastAsia="宋体" w:hAnsi="Times New Roman" w:cs="Times New Roman"/>
      <w:szCs w:val="24"/>
    </w:rPr>
  </w:style>
  <w:style w:type="character" w:customStyle="1" w:styleId="Char1">
    <w:name w:val="批注主题 Char1"/>
    <w:basedOn w:val="Char10"/>
    <w:link w:val="a4"/>
    <w:uiPriority w:val="99"/>
    <w:semiHidden/>
    <w:qFormat/>
    <w:rsid w:val="005C6419"/>
    <w:rPr>
      <w:b/>
      <w:bCs/>
    </w:rPr>
  </w:style>
  <w:style w:type="character" w:customStyle="1" w:styleId="Char11">
    <w:name w:val="正文文本 Char1"/>
    <w:basedOn w:val="a1"/>
    <w:link w:val="a6"/>
    <w:uiPriority w:val="99"/>
    <w:semiHidden/>
    <w:qFormat/>
    <w:rsid w:val="005C6419"/>
    <w:rPr>
      <w:rFonts w:ascii="Times New Roman" w:eastAsia="宋体" w:hAnsi="Times New Roman" w:cs="Times New Roman"/>
      <w:szCs w:val="24"/>
    </w:rPr>
  </w:style>
  <w:style w:type="character" w:customStyle="1" w:styleId="Char15">
    <w:name w:val="页眉 Char1"/>
    <w:basedOn w:val="a1"/>
    <w:link w:val="aa"/>
    <w:uiPriority w:val="99"/>
    <w:semiHidden/>
    <w:qFormat/>
    <w:rsid w:val="005C6419"/>
    <w:rPr>
      <w:rFonts w:ascii="Times New Roman" w:eastAsia="宋体" w:hAnsi="Times New Roman" w:cs="Times New Roman"/>
      <w:sz w:val="18"/>
      <w:szCs w:val="18"/>
    </w:rPr>
  </w:style>
  <w:style w:type="character" w:customStyle="1" w:styleId="3Char1">
    <w:name w:val="正文文本缩进 3 Char1"/>
    <w:basedOn w:val="a1"/>
    <w:link w:val="30"/>
    <w:uiPriority w:val="99"/>
    <w:semiHidden/>
    <w:qFormat/>
    <w:rsid w:val="005C6419"/>
    <w:rPr>
      <w:rFonts w:ascii="Times New Roman" w:eastAsia="宋体" w:hAnsi="Times New Roman" w:cs="Times New Roman"/>
      <w:sz w:val="16"/>
      <w:szCs w:val="16"/>
    </w:rPr>
  </w:style>
  <w:style w:type="character" w:customStyle="1" w:styleId="Char13">
    <w:name w:val="批注框文本 Char1"/>
    <w:basedOn w:val="a1"/>
    <w:link w:val="a8"/>
    <w:uiPriority w:val="99"/>
    <w:semiHidden/>
    <w:qFormat/>
    <w:rsid w:val="005C6419"/>
    <w:rPr>
      <w:rFonts w:ascii="Times New Roman" w:eastAsia="宋体" w:hAnsi="Times New Roman" w:cs="Times New Roman"/>
      <w:sz w:val="18"/>
      <w:szCs w:val="18"/>
    </w:rPr>
  </w:style>
  <w:style w:type="character" w:customStyle="1" w:styleId="HTMLChar1">
    <w:name w:val="HTML 预设格式 Char1"/>
    <w:basedOn w:val="a1"/>
    <w:link w:val="HTML"/>
    <w:uiPriority w:val="99"/>
    <w:semiHidden/>
    <w:qFormat/>
    <w:rsid w:val="005C6419"/>
    <w:rPr>
      <w:rFonts w:ascii="Courier New" w:eastAsia="宋体" w:hAnsi="Courier New" w:cs="Courier New"/>
      <w:sz w:val="20"/>
      <w:szCs w:val="20"/>
    </w:rPr>
  </w:style>
  <w:style w:type="character" w:customStyle="1" w:styleId="Char14">
    <w:name w:val="页脚 Char1"/>
    <w:basedOn w:val="a1"/>
    <w:link w:val="a9"/>
    <w:uiPriority w:val="99"/>
    <w:semiHidden/>
    <w:qFormat/>
    <w:rsid w:val="005C6419"/>
    <w:rPr>
      <w:rFonts w:ascii="Times New Roman" w:eastAsia="宋体" w:hAnsi="Times New Roman" w:cs="Times New Roman"/>
      <w:sz w:val="18"/>
      <w:szCs w:val="18"/>
    </w:rPr>
  </w:style>
  <w:style w:type="paragraph" w:customStyle="1" w:styleId="wz1">
    <w:name w:val="wz1"/>
    <w:basedOn w:val="a"/>
    <w:qFormat/>
    <w:rsid w:val="005C641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7">
    <w:name w:val="Char"/>
    <w:basedOn w:val="a"/>
    <w:rsid w:val="005C6419"/>
  </w:style>
  <w:style w:type="paragraph" w:customStyle="1" w:styleId="10">
    <w:name w:val="修订1"/>
    <w:uiPriority w:val="99"/>
    <w:semiHidden/>
    <w:rsid w:val="005C6419"/>
    <w:rPr>
      <w:rFonts w:ascii="Times New Roman" w:eastAsia="宋体" w:hAnsi="Times New Roman" w:cs="Times New Roman"/>
      <w:kern w:val="2"/>
      <w:sz w:val="21"/>
      <w:szCs w:val="24"/>
    </w:rPr>
  </w:style>
  <w:style w:type="paragraph" w:customStyle="1" w:styleId="Char16">
    <w:name w:val="Char1"/>
    <w:basedOn w:val="a"/>
    <w:qFormat/>
    <w:rsid w:val="005C6419"/>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5C6419"/>
  </w:style>
  <w:style w:type="paragraph" w:customStyle="1" w:styleId="CharChar">
    <w:name w:val="Char Char"/>
    <w:basedOn w:val="a"/>
    <w:qFormat/>
    <w:rsid w:val="005C6419"/>
    <w:rPr>
      <w:szCs w:val="20"/>
    </w:rPr>
  </w:style>
  <w:style w:type="paragraph" w:customStyle="1" w:styleId="CharCharCharCharCharCharChar1CharCharCharCharCharChar">
    <w:name w:val="Char Char Char Char Char Char Char1 Char Char Char Char Char Char"/>
    <w:basedOn w:val="a"/>
    <w:qFormat/>
    <w:rsid w:val="005C641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5C6419"/>
    <w:pPr>
      <w:tabs>
        <w:tab w:val="left" w:pos="840"/>
      </w:tabs>
      <w:ind w:left="840" w:hanging="360"/>
    </w:pPr>
    <w:rPr>
      <w:szCs w:val="20"/>
    </w:rPr>
  </w:style>
  <w:style w:type="paragraph" w:customStyle="1" w:styleId="Default">
    <w:name w:val="Default"/>
    <w:qFormat/>
    <w:rsid w:val="005C6419"/>
    <w:pPr>
      <w:widowControl w:val="0"/>
      <w:autoSpaceDE w:val="0"/>
      <w:autoSpaceDN w:val="0"/>
      <w:adjustRightInd w:val="0"/>
    </w:pPr>
    <w:rPr>
      <w:rFonts w:ascii="宋体" w:eastAsia="宋体"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4588</Words>
  <Characters>26154</Characters>
  <Application>Microsoft Office Word</Application>
  <DocSecurity>0</DocSecurity>
  <Lines>217</Lines>
  <Paragraphs>61</Paragraphs>
  <ScaleCrop>false</ScaleCrop>
  <Company/>
  <LinksUpToDate>false</LinksUpToDate>
  <CharactersWithSpaces>30681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maow</dc:creator>
  <cp:lastModifiedBy>maow</cp:lastModifiedBy>
  <cp:revision>14</cp:revision>
  <cp:lastPrinted>2018-08-02T06:06:00Z</cp:lastPrinted>
  <dcterms:created xsi:type="dcterms:W3CDTF">2018-02-26T07:01:00Z</dcterms:created>
  <dcterms:modified xsi:type="dcterms:W3CDTF">2019-01-17T06:13:00Z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