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934C6" w14:textId="77777777" w:rsidR="00553A42" w:rsidRDefault="00553A42">
      <w:pPr>
        <w:adjustRightInd w:val="0"/>
        <w:snapToGrid w:val="0"/>
        <w:jc w:val="center"/>
        <w:rPr>
          <w:rFonts w:ascii="彩虹粗仿宋" w:eastAsia="彩虹粗仿宋" w:hAnsi="宋体" w:cs="Arial"/>
          <w:sz w:val="24"/>
        </w:rPr>
      </w:pPr>
    </w:p>
    <w:p w14:paraId="4C1A7E39" w14:textId="77777777" w:rsidR="00553A42" w:rsidRDefault="00553A42">
      <w:pPr>
        <w:adjustRightInd w:val="0"/>
        <w:snapToGrid w:val="0"/>
        <w:jc w:val="center"/>
        <w:rPr>
          <w:rFonts w:ascii="彩虹粗仿宋" w:eastAsia="彩虹粗仿宋" w:hAnsi="宋体" w:cs="Arial"/>
          <w:sz w:val="24"/>
        </w:rPr>
      </w:pPr>
    </w:p>
    <w:p w14:paraId="2F6938EF" w14:textId="77777777" w:rsidR="00553A42" w:rsidRDefault="00553A42">
      <w:pPr>
        <w:adjustRightInd w:val="0"/>
        <w:snapToGrid w:val="0"/>
        <w:jc w:val="center"/>
        <w:rPr>
          <w:rFonts w:ascii="彩虹粗仿宋" w:eastAsia="彩虹粗仿宋" w:hAnsi="宋体" w:cs="Arial"/>
          <w:sz w:val="24"/>
        </w:rPr>
      </w:pPr>
    </w:p>
    <w:p w14:paraId="72B9F5B3" w14:textId="77777777" w:rsidR="00553A42" w:rsidRDefault="00553A42">
      <w:pPr>
        <w:adjustRightInd w:val="0"/>
        <w:snapToGrid w:val="0"/>
        <w:jc w:val="center"/>
        <w:rPr>
          <w:rFonts w:ascii="彩虹粗仿宋" w:eastAsia="彩虹粗仿宋" w:hAnsi="宋体" w:cs="Arial"/>
          <w:sz w:val="24"/>
        </w:rPr>
      </w:pPr>
    </w:p>
    <w:p w14:paraId="6313BBCD" w14:textId="77777777" w:rsidR="00553A42" w:rsidRDefault="00553A42">
      <w:pPr>
        <w:adjustRightInd w:val="0"/>
        <w:snapToGrid w:val="0"/>
        <w:jc w:val="center"/>
        <w:rPr>
          <w:rFonts w:ascii="彩虹粗仿宋" w:eastAsia="彩虹粗仿宋" w:hAnsi="宋体" w:cs="Arial"/>
          <w:sz w:val="24"/>
        </w:rPr>
      </w:pPr>
    </w:p>
    <w:p w14:paraId="07189758" w14:textId="77777777" w:rsidR="00553A42" w:rsidRDefault="00553A42">
      <w:pPr>
        <w:adjustRightInd w:val="0"/>
        <w:snapToGrid w:val="0"/>
        <w:jc w:val="center"/>
        <w:rPr>
          <w:rFonts w:ascii="彩虹粗仿宋" w:eastAsia="彩虹粗仿宋" w:hAnsi="宋体" w:cs="Arial"/>
          <w:sz w:val="24"/>
        </w:rPr>
      </w:pPr>
    </w:p>
    <w:p w14:paraId="5572C5B6" w14:textId="77777777" w:rsidR="00553A42" w:rsidRDefault="00827B77">
      <w:pPr>
        <w:adjustRightInd w:val="0"/>
        <w:snapToGrid w:val="0"/>
        <w:spacing w:line="360" w:lineRule="auto"/>
        <w:jc w:val="center"/>
        <w:rPr>
          <w:rFonts w:ascii="宋体" w:hAnsi="宋体"/>
          <w:b/>
          <w:sz w:val="48"/>
        </w:rPr>
      </w:pPr>
      <w:bookmarkStart w:id="0" w:name="_Toc123701381"/>
      <w:bookmarkStart w:id="1" w:name="_Toc139991724"/>
      <w:bookmarkStart w:id="2" w:name="_Toc139992299"/>
      <w:bookmarkStart w:id="3" w:name="_Toc123112222"/>
      <w:bookmarkStart w:id="4" w:name="_Toc123112261"/>
      <w:r>
        <w:rPr>
          <w:rFonts w:ascii="宋体" w:hAnsi="宋体" w:hint="eastAsia"/>
          <w:b/>
          <w:sz w:val="48"/>
        </w:rPr>
        <w:t>民生加银鑫福灵活配置混合型</w:t>
      </w:r>
      <w:bookmarkEnd w:id="0"/>
      <w:bookmarkEnd w:id="1"/>
      <w:bookmarkEnd w:id="2"/>
      <w:bookmarkEnd w:id="3"/>
      <w:bookmarkEnd w:id="4"/>
      <w:r>
        <w:rPr>
          <w:rFonts w:ascii="宋体" w:hAnsi="宋体" w:hint="eastAsia"/>
          <w:b/>
          <w:sz w:val="48"/>
        </w:rPr>
        <w:t>证券投资基金托管协议</w:t>
      </w:r>
    </w:p>
    <w:p w14:paraId="2F17C08B" w14:textId="77777777" w:rsidR="00553A42" w:rsidRDefault="00553A42">
      <w:pPr>
        <w:adjustRightInd w:val="0"/>
        <w:snapToGrid w:val="0"/>
        <w:jc w:val="center"/>
        <w:outlineLvl w:val="0"/>
        <w:rPr>
          <w:rFonts w:ascii="宋体" w:hAnsi="宋体" w:cs="Arial"/>
          <w:sz w:val="24"/>
        </w:rPr>
      </w:pPr>
    </w:p>
    <w:p w14:paraId="3D425DC7" w14:textId="77777777" w:rsidR="00553A42" w:rsidRDefault="00553A42">
      <w:pPr>
        <w:adjustRightInd w:val="0"/>
        <w:snapToGrid w:val="0"/>
        <w:jc w:val="center"/>
        <w:outlineLvl w:val="0"/>
        <w:rPr>
          <w:rFonts w:ascii="宋体" w:hAnsi="宋体" w:cs="Arial"/>
          <w:sz w:val="24"/>
        </w:rPr>
      </w:pPr>
    </w:p>
    <w:p w14:paraId="3614677F" w14:textId="77777777" w:rsidR="00553A42" w:rsidRDefault="00553A42">
      <w:pPr>
        <w:adjustRightInd w:val="0"/>
        <w:snapToGrid w:val="0"/>
        <w:jc w:val="center"/>
        <w:outlineLvl w:val="0"/>
        <w:rPr>
          <w:rFonts w:ascii="宋体" w:hAnsi="宋体" w:cs="Arial"/>
          <w:sz w:val="24"/>
        </w:rPr>
      </w:pPr>
    </w:p>
    <w:p w14:paraId="47D34290" w14:textId="77777777" w:rsidR="00553A42" w:rsidRDefault="00553A42">
      <w:pPr>
        <w:adjustRightInd w:val="0"/>
        <w:snapToGrid w:val="0"/>
        <w:jc w:val="center"/>
        <w:outlineLvl w:val="0"/>
        <w:rPr>
          <w:rFonts w:ascii="宋体" w:hAnsi="宋体" w:cs="Arial"/>
          <w:sz w:val="24"/>
        </w:rPr>
      </w:pPr>
    </w:p>
    <w:p w14:paraId="0EAD5679" w14:textId="77777777" w:rsidR="00553A42" w:rsidRDefault="00553A42">
      <w:pPr>
        <w:adjustRightInd w:val="0"/>
        <w:snapToGrid w:val="0"/>
        <w:jc w:val="center"/>
        <w:outlineLvl w:val="0"/>
        <w:rPr>
          <w:rFonts w:ascii="宋体" w:hAnsi="宋体" w:cs="Arial"/>
          <w:sz w:val="24"/>
        </w:rPr>
      </w:pPr>
    </w:p>
    <w:p w14:paraId="2ADB105D" w14:textId="77777777" w:rsidR="00553A42" w:rsidRDefault="00553A42">
      <w:pPr>
        <w:adjustRightInd w:val="0"/>
        <w:snapToGrid w:val="0"/>
        <w:jc w:val="center"/>
        <w:outlineLvl w:val="0"/>
        <w:rPr>
          <w:rFonts w:ascii="宋体" w:hAnsi="宋体" w:cs="Arial"/>
          <w:sz w:val="24"/>
        </w:rPr>
      </w:pPr>
    </w:p>
    <w:p w14:paraId="310F804D" w14:textId="77777777" w:rsidR="00553A42" w:rsidRDefault="00553A42">
      <w:pPr>
        <w:adjustRightInd w:val="0"/>
        <w:snapToGrid w:val="0"/>
        <w:jc w:val="center"/>
        <w:outlineLvl w:val="0"/>
        <w:rPr>
          <w:rFonts w:ascii="宋体" w:hAnsi="宋体" w:cs="Arial"/>
          <w:sz w:val="36"/>
          <w:szCs w:val="36"/>
        </w:rPr>
      </w:pPr>
    </w:p>
    <w:p w14:paraId="3AB9CC82" w14:textId="77777777" w:rsidR="00553A42" w:rsidRDefault="00827B77">
      <w:pPr>
        <w:adjustRightInd w:val="0"/>
        <w:snapToGrid w:val="0"/>
        <w:spacing w:line="360" w:lineRule="auto"/>
        <w:jc w:val="center"/>
        <w:outlineLvl w:val="0"/>
        <w:rPr>
          <w:rFonts w:ascii="宋体" w:hAnsi="宋体" w:cs="Arial"/>
          <w:b/>
          <w:bCs/>
          <w:sz w:val="36"/>
          <w:szCs w:val="36"/>
        </w:rPr>
      </w:pPr>
      <w:r>
        <w:rPr>
          <w:rFonts w:ascii="宋体" w:hAnsi="宋体" w:cs="Arial" w:hint="eastAsia"/>
          <w:b/>
          <w:bCs/>
          <w:sz w:val="36"/>
          <w:szCs w:val="36"/>
        </w:rPr>
        <w:t>基金管理人：民生加银基金管理有限公司</w:t>
      </w:r>
    </w:p>
    <w:p w14:paraId="04E77C75" w14:textId="4416B5E9" w:rsidR="00553A42" w:rsidRDefault="00F379A8">
      <w:pPr>
        <w:adjustRightInd w:val="0"/>
        <w:snapToGrid w:val="0"/>
        <w:spacing w:line="360" w:lineRule="auto"/>
        <w:jc w:val="center"/>
        <w:outlineLvl w:val="0"/>
        <w:rPr>
          <w:rFonts w:ascii="宋体" w:hAnsi="宋体" w:cs="Arial"/>
          <w:b/>
          <w:bCs/>
          <w:sz w:val="36"/>
          <w:szCs w:val="36"/>
        </w:rPr>
      </w:pPr>
      <w:r>
        <w:rPr>
          <w:rFonts w:ascii="宋体" w:hAnsi="宋体" w:cs="Arial" w:hint="eastAsia"/>
          <w:b/>
          <w:bCs/>
          <w:sz w:val="36"/>
          <w:szCs w:val="36"/>
        </w:rPr>
        <w:t>临时</w:t>
      </w:r>
      <w:r w:rsidR="00827B77">
        <w:rPr>
          <w:rFonts w:ascii="宋体" w:hAnsi="宋体" w:cs="Arial" w:hint="eastAsia"/>
          <w:b/>
          <w:bCs/>
          <w:sz w:val="36"/>
          <w:szCs w:val="36"/>
        </w:rPr>
        <w:t>基金托管人：</w:t>
      </w:r>
      <w:r w:rsidR="00C85F83">
        <w:rPr>
          <w:rFonts w:ascii="宋体" w:hAnsi="宋体" w:cs="Arial" w:hint="eastAsia"/>
          <w:b/>
          <w:bCs/>
          <w:sz w:val="36"/>
          <w:szCs w:val="36"/>
        </w:rPr>
        <w:t>中国建设银行</w:t>
      </w:r>
      <w:r w:rsidR="00827B77">
        <w:rPr>
          <w:rFonts w:ascii="宋体" w:hAnsi="宋体" w:cs="Arial" w:hint="eastAsia"/>
          <w:b/>
          <w:bCs/>
          <w:sz w:val="36"/>
          <w:szCs w:val="36"/>
        </w:rPr>
        <w:t>股份有限公司</w:t>
      </w:r>
    </w:p>
    <w:p w14:paraId="3F9E5731" w14:textId="77777777" w:rsidR="00553A42" w:rsidRDefault="00553A42">
      <w:pPr>
        <w:adjustRightInd w:val="0"/>
        <w:snapToGrid w:val="0"/>
        <w:spacing w:line="360" w:lineRule="auto"/>
        <w:jc w:val="center"/>
        <w:outlineLvl w:val="0"/>
        <w:rPr>
          <w:rFonts w:ascii="彩虹粗仿宋" w:eastAsia="彩虹粗仿宋" w:hAnsi="宋体" w:cs="Arial"/>
          <w:sz w:val="24"/>
        </w:rPr>
      </w:pPr>
    </w:p>
    <w:p w14:paraId="3883BF9A" w14:textId="77777777" w:rsidR="00553A42" w:rsidRDefault="00553A42">
      <w:pPr>
        <w:adjustRightInd w:val="0"/>
        <w:snapToGrid w:val="0"/>
        <w:spacing w:line="360" w:lineRule="auto"/>
        <w:jc w:val="center"/>
        <w:outlineLvl w:val="0"/>
        <w:rPr>
          <w:rFonts w:ascii="彩虹粗仿宋" w:eastAsia="彩虹粗仿宋" w:hAnsi="宋体" w:cs="Arial"/>
          <w:sz w:val="24"/>
        </w:rPr>
      </w:pPr>
    </w:p>
    <w:p w14:paraId="315A57C1" w14:textId="543D9824" w:rsidR="00553A42" w:rsidRDefault="00827B77">
      <w:pPr>
        <w:adjustRightInd w:val="0"/>
        <w:snapToGrid w:val="0"/>
        <w:spacing w:line="360" w:lineRule="auto"/>
        <w:jc w:val="center"/>
        <w:outlineLvl w:val="0"/>
        <w:rPr>
          <w:rFonts w:ascii="宋体" w:hAnsi="宋体" w:cs="Arial"/>
          <w:b/>
          <w:sz w:val="30"/>
          <w:szCs w:val="30"/>
        </w:rPr>
      </w:pPr>
      <w:r>
        <w:rPr>
          <w:rFonts w:ascii="宋体" w:hAnsi="宋体" w:cs="Arial" w:hint="eastAsia"/>
          <w:b/>
          <w:sz w:val="30"/>
          <w:szCs w:val="30"/>
        </w:rPr>
        <w:t>二零</w:t>
      </w:r>
      <w:r w:rsidR="00C85F83">
        <w:rPr>
          <w:rFonts w:ascii="宋体" w:hAnsi="宋体" w:cs="Arial" w:hint="eastAsia"/>
          <w:b/>
          <w:sz w:val="30"/>
          <w:szCs w:val="30"/>
        </w:rPr>
        <w:t>二一</w:t>
      </w:r>
      <w:r>
        <w:rPr>
          <w:rFonts w:ascii="宋体" w:hAnsi="宋体" w:cs="Arial" w:hint="eastAsia"/>
          <w:b/>
          <w:sz w:val="30"/>
          <w:szCs w:val="30"/>
        </w:rPr>
        <w:t>年</w:t>
      </w:r>
      <w:r w:rsidR="00514AE9">
        <w:rPr>
          <w:rFonts w:ascii="宋体" w:hAnsi="宋体" w:cs="Arial" w:hint="eastAsia"/>
          <w:b/>
          <w:sz w:val="30"/>
          <w:szCs w:val="30"/>
        </w:rPr>
        <w:t>二</w:t>
      </w:r>
      <w:r>
        <w:rPr>
          <w:rFonts w:ascii="宋体" w:hAnsi="宋体" w:cs="Arial" w:hint="eastAsia"/>
          <w:b/>
          <w:sz w:val="30"/>
          <w:szCs w:val="30"/>
        </w:rPr>
        <w:t>月</w:t>
      </w:r>
    </w:p>
    <w:p w14:paraId="71E554A9" w14:textId="77777777" w:rsidR="00553A42" w:rsidRPr="00E05D14" w:rsidRDefault="00553A42">
      <w:pPr>
        <w:adjustRightInd w:val="0"/>
        <w:snapToGrid w:val="0"/>
        <w:rPr>
          <w:rFonts w:ascii="彩虹粗仿宋" w:eastAsia="彩虹粗仿宋" w:hAnsi="宋体" w:cs="Arial"/>
          <w:bCs/>
          <w:sz w:val="24"/>
        </w:rPr>
        <w:sectPr w:rsidR="00553A42" w:rsidRPr="00E05D14">
          <w:footerReference w:type="even" r:id="rId9"/>
          <w:footerReference w:type="default" r:id="rId10"/>
          <w:pgSz w:w="11906" w:h="16838"/>
          <w:pgMar w:top="1418" w:right="1701" w:bottom="1418" w:left="1701" w:header="851" w:footer="992" w:gutter="0"/>
          <w:cols w:space="425"/>
          <w:docGrid w:type="lines" w:linePitch="312"/>
        </w:sectPr>
      </w:pPr>
    </w:p>
    <w:p w14:paraId="05EDD787" w14:textId="77777777" w:rsidR="00553A42" w:rsidRDefault="00553A42">
      <w:pPr>
        <w:adjustRightInd w:val="0"/>
        <w:snapToGrid w:val="0"/>
        <w:spacing w:line="360" w:lineRule="auto"/>
        <w:rPr>
          <w:rFonts w:ascii="彩虹粗仿宋" w:eastAsia="彩虹粗仿宋" w:hAnsi="宋体" w:cs="Arial"/>
          <w:bCs/>
          <w:sz w:val="24"/>
        </w:rPr>
      </w:pPr>
    </w:p>
    <w:p w14:paraId="1071FA89" w14:textId="77777777" w:rsidR="00553A42" w:rsidRDefault="00827B77">
      <w:pPr>
        <w:snapToGrid w:val="0"/>
        <w:spacing w:line="360" w:lineRule="auto"/>
        <w:jc w:val="center"/>
        <w:rPr>
          <w:rFonts w:ascii="宋体" w:hAnsi="宋体"/>
          <w:b/>
          <w:bCs/>
          <w:sz w:val="24"/>
        </w:rPr>
      </w:pPr>
      <w:r>
        <w:rPr>
          <w:rFonts w:ascii="宋体" w:hAnsi="宋体" w:hint="eastAsia"/>
          <w:b/>
          <w:bCs/>
          <w:sz w:val="24"/>
        </w:rPr>
        <w:t>目    录</w:t>
      </w:r>
    </w:p>
    <w:p w14:paraId="03A28DDB" w14:textId="22813D0B" w:rsidR="00A71191" w:rsidRDefault="00827B77">
      <w:pPr>
        <w:pStyle w:val="21"/>
        <w:tabs>
          <w:tab w:val="right" w:leader="dot" w:pos="8494"/>
        </w:tabs>
        <w:rPr>
          <w:rFonts w:asciiTheme="minorHAnsi" w:eastAsiaTheme="minorEastAsia" w:hAnsiTheme="minorHAnsi" w:cstheme="minorBidi"/>
          <w:noProof/>
          <w:sz w:val="24"/>
        </w:rPr>
      </w:pPr>
      <w:r>
        <w:rPr>
          <w:rFonts w:ascii="宋体" w:hAnsi="宋体" w:hint="eastAsia"/>
          <w:sz w:val="24"/>
        </w:rPr>
        <w:fldChar w:fldCharType="begin"/>
      </w:r>
      <w:r>
        <w:rPr>
          <w:rFonts w:ascii="宋体" w:hAnsi="宋体" w:hint="eastAsia"/>
          <w:sz w:val="24"/>
        </w:rPr>
        <w:instrText xml:space="preserve"> TOC \o "1-2" \h \z </w:instrText>
      </w:r>
      <w:r>
        <w:rPr>
          <w:rFonts w:ascii="宋体" w:hAnsi="宋体" w:hint="eastAsia"/>
          <w:sz w:val="24"/>
        </w:rPr>
        <w:fldChar w:fldCharType="separate"/>
      </w:r>
      <w:hyperlink w:anchor="_Toc62934246" w:history="1">
        <w:r w:rsidR="00A71191" w:rsidRPr="00464873">
          <w:rPr>
            <w:rStyle w:val="af4"/>
            <w:rFonts w:asciiTheme="minorEastAsia" w:hAnsiTheme="minorEastAsia"/>
            <w:noProof/>
          </w:rPr>
          <w:t>一、基金托管协议当事人</w:t>
        </w:r>
        <w:r w:rsidR="00A71191">
          <w:rPr>
            <w:noProof/>
            <w:webHidden/>
          </w:rPr>
          <w:tab/>
        </w:r>
        <w:r w:rsidR="00A71191">
          <w:rPr>
            <w:noProof/>
            <w:webHidden/>
          </w:rPr>
          <w:fldChar w:fldCharType="begin"/>
        </w:r>
        <w:r w:rsidR="00A71191">
          <w:rPr>
            <w:noProof/>
            <w:webHidden/>
          </w:rPr>
          <w:instrText xml:space="preserve"> PAGEREF _Toc62934246 \h </w:instrText>
        </w:r>
        <w:r w:rsidR="00A71191">
          <w:rPr>
            <w:noProof/>
            <w:webHidden/>
          </w:rPr>
        </w:r>
        <w:r w:rsidR="00A71191">
          <w:rPr>
            <w:noProof/>
            <w:webHidden/>
          </w:rPr>
          <w:fldChar w:fldCharType="separate"/>
        </w:r>
        <w:r w:rsidR="00D12F9F">
          <w:rPr>
            <w:noProof/>
            <w:webHidden/>
          </w:rPr>
          <w:t>4</w:t>
        </w:r>
        <w:r w:rsidR="00A71191">
          <w:rPr>
            <w:noProof/>
            <w:webHidden/>
          </w:rPr>
          <w:fldChar w:fldCharType="end"/>
        </w:r>
      </w:hyperlink>
    </w:p>
    <w:p w14:paraId="0E28B772" w14:textId="4105AB43" w:rsidR="00A71191" w:rsidRDefault="006B7D48">
      <w:pPr>
        <w:pStyle w:val="21"/>
        <w:tabs>
          <w:tab w:val="right" w:leader="dot" w:pos="8494"/>
        </w:tabs>
        <w:rPr>
          <w:rFonts w:asciiTheme="minorHAnsi" w:eastAsiaTheme="minorEastAsia" w:hAnsiTheme="minorHAnsi" w:cstheme="minorBidi"/>
          <w:noProof/>
          <w:sz w:val="24"/>
        </w:rPr>
      </w:pPr>
      <w:hyperlink w:anchor="_Toc62934247" w:history="1">
        <w:r w:rsidR="00A71191" w:rsidRPr="00464873">
          <w:rPr>
            <w:rStyle w:val="af4"/>
            <w:rFonts w:asciiTheme="majorEastAsia" w:eastAsiaTheme="majorEastAsia" w:hAnsiTheme="majorEastAsia"/>
            <w:noProof/>
          </w:rPr>
          <w:t>二、基金托管协议的依据、目的和原则</w:t>
        </w:r>
        <w:r w:rsidR="00A71191">
          <w:rPr>
            <w:noProof/>
            <w:webHidden/>
          </w:rPr>
          <w:tab/>
        </w:r>
        <w:r w:rsidR="00A71191">
          <w:rPr>
            <w:noProof/>
            <w:webHidden/>
          </w:rPr>
          <w:fldChar w:fldCharType="begin"/>
        </w:r>
        <w:r w:rsidR="00A71191">
          <w:rPr>
            <w:noProof/>
            <w:webHidden/>
          </w:rPr>
          <w:instrText xml:space="preserve"> PAGEREF _Toc62934247 \h </w:instrText>
        </w:r>
        <w:r w:rsidR="00A71191">
          <w:rPr>
            <w:noProof/>
            <w:webHidden/>
          </w:rPr>
        </w:r>
        <w:r w:rsidR="00A71191">
          <w:rPr>
            <w:noProof/>
            <w:webHidden/>
          </w:rPr>
          <w:fldChar w:fldCharType="separate"/>
        </w:r>
        <w:r w:rsidR="00D12F9F">
          <w:rPr>
            <w:noProof/>
            <w:webHidden/>
          </w:rPr>
          <w:t>6</w:t>
        </w:r>
        <w:r w:rsidR="00A71191">
          <w:rPr>
            <w:noProof/>
            <w:webHidden/>
          </w:rPr>
          <w:fldChar w:fldCharType="end"/>
        </w:r>
      </w:hyperlink>
    </w:p>
    <w:p w14:paraId="4B123C52" w14:textId="240F0ED1" w:rsidR="00A71191" w:rsidRDefault="006B7D48">
      <w:pPr>
        <w:pStyle w:val="21"/>
        <w:tabs>
          <w:tab w:val="right" w:leader="dot" w:pos="8494"/>
        </w:tabs>
        <w:rPr>
          <w:rFonts w:asciiTheme="minorHAnsi" w:eastAsiaTheme="minorEastAsia" w:hAnsiTheme="minorHAnsi" w:cstheme="minorBidi"/>
          <w:noProof/>
          <w:sz w:val="24"/>
        </w:rPr>
      </w:pPr>
      <w:hyperlink w:anchor="_Toc62934248" w:history="1">
        <w:r w:rsidR="00A71191" w:rsidRPr="00464873">
          <w:rPr>
            <w:rStyle w:val="af4"/>
            <w:rFonts w:asciiTheme="minorEastAsia" w:hAnsiTheme="minorEastAsia"/>
            <w:noProof/>
          </w:rPr>
          <w:t>三、基金托管人对基金管理人的业务监督和核查</w:t>
        </w:r>
        <w:r w:rsidR="00A71191">
          <w:rPr>
            <w:noProof/>
            <w:webHidden/>
          </w:rPr>
          <w:tab/>
        </w:r>
        <w:r w:rsidR="00A71191">
          <w:rPr>
            <w:noProof/>
            <w:webHidden/>
          </w:rPr>
          <w:fldChar w:fldCharType="begin"/>
        </w:r>
        <w:r w:rsidR="00A71191">
          <w:rPr>
            <w:noProof/>
            <w:webHidden/>
          </w:rPr>
          <w:instrText xml:space="preserve"> PAGEREF _Toc62934248 \h </w:instrText>
        </w:r>
        <w:r w:rsidR="00A71191">
          <w:rPr>
            <w:noProof/>
            <w:webHidden/>
          </w:rPr>
        </w:r>
        <w:r w:rsidR="00A71191">
          <w:rPr>
            <w:noProof/>
            <w:webHidden/>
          </w:rPr>
          <w:fldChar w:fldCharType="separate"/>
        </w:r>
        <w:r w:rsidR="00D12F9F">
          <w:rPr>
            <w:noProof/>
            <w:webHidden/>
          </w:rPr>
          <w:t>7</w:t>
        </w:r>
        <w:r w:rsidR="00A71191">
          <w:rPr>
            <w:noProof/>
            <w:webHidden/>
          </w:rPr>
          <w:fldChar w:fldCharType="end"/>
        </w:r>
      </w:hyperlink>
    </w:p>
    <w:p w14:paraId="15A10091" w14:textId="5254CEDA" w:rsidR="00A71191" w:rsidRDefault="006B7D48">
      <w:pPr>
        <w:pStyle w:val="21"/>
        <w:tabs>
          <w:tab w:val="right" w:leader="dot" w:pos="8494"/>
        </w:tabs>
        <w:rPr>
          <w:rFonts w:asciiTheme="minorHAnsi" w:eastAsiaTheme="minorEastAsia" w:hAnsiTheme="minorHAnsi" w:cstheme="minorBidi"/>
          <w:noProof/>
          <w:sz w:val="24"/>
        </w:rPr>
      </w:pPr>
      <w:hyperlink w:anchor="_Toc62934249" w:history="1">
        <w:r w:rsidR="00A71191" w:rsidRPr="00464873">
          <w:rPr>
            <w:rStyle w:val="af4"/>
            <w:rFonts w:asciiTheme="minorEastAsia" w:hAnsiTheme="minorEastAsia"/>
            <w:noProof/>
          </w:rPr>
          <w:t>四、基金管理人对基金托管人的业务核查</w:t>
        </w:r>
        <w:r w:rsidR="00A71191">
          <w:rPr>
            <w:noProof/>
            <w:webHidden/>
          </w:rPr>
          <w:tab/>
        </w:r>
        <w:r w:rsidR="00A71191">
          <w:rPr>
            <w:noProof/>
            <w:webHidden/>
          </w:rPr>
          <w:fldChar w:fldCharType="begin"/>
        </w:r>
        <w:r w:rsidR="00A71191">
          <w:rPr>
            <w:noProof/>
            <w:webHidden/>
          </w:rPr>
          <w:instrText xml:space="preserve"> PAGEREF _Toc62934249 \h </w:instrText>
        </w:r>
        <w:r w:rsidR="00A71191">
          <w:rPr>
            <w:noProof/>
            <w:webHidden/>
          </w:rPr>
        </w:r>
        <w:r w:rsidR="00A71191">
          <w:rPr>
            <w:noProof/>
            <w:webHidden/>
          </w:rPr>
          <w:fldChar w:fldCharType="separate"/>
        </w:r>
        <w:r w:rsidR="00D12F9F">
          <w:rPr>
            <w:noProof/>
            <w:webHidden/>
          </w:rPr>
          <w:t>14</w:t>
        </w:r>
        <w:r w:rsidR="00A71191">
          <w:rPr>
            <w:noProof/>
            <w:webHidden/>
          </w:rPr>
          <w:fldChar w:fldCharType="end"/>
        </w:r>
      </w:hyperlink>
    </w:p>
    <w:p w14:paraId="5C9F67EE" w14:textId="7854B65E" w:rsidR="00A71191" w:rsidRDefault="006B7D48">
      <w:pPr>
        <w:pStyle w:val="21"/>
        <w:tabs>
          <w:tab w:val="right" w:leader="dot" w:pos="8494"/>
        </w:tabs>
        <w:rPr>
          <w:rFonts w:asciiTheme="minorHAnsi" w:eastAsiaTheme="minorEastAsia" w:hAnsiTheme="minorHAnsi" w:cstheme="minorBidi"/>
          <w:noProof/>
          <w:sz w:val="24"/>
        </w:rPr>
      </w:pPr>
      <w:hyperlink w:anchor="_Toc62934250" w:history="1">
        <w:r w:rsidR="00A71191" w:rsidRPr="00464873">
          <w:rPr>
            <w:rStyle w:val="af4"/>
            <w:rFonts w:asciiTheme="minorEastAsia" w:hAnsiTheme="minorEastAsia"/>
            <w:noProof/>
          </w:rPr>
          <w:t>五、基金财产的保管</w:t>
        </w:r>
        <w:r w:rsidR="00A71191">
          <w:rPr>
            <w:noProof/>
            <w:webHidden/>
          </w:rPr>
          <w:tab/>
        </w:r>
        <w:r w:rsidR="00A71191">
          <w:rPr>
            <w:noProof/>
            <w:webHidden/>
          </w:rPr>
          <w:fldChar w:fldCharType="begin"/>
        </w:r>
        <w:r w:rsidR="00A71191">
          <w:rPr>
            <w:noProof/>
            <w:webHidden/>
          </w:rPr>
          <w:instrText xml:space="preserve"> PAGEREF _Toc62934250 \h </w:instrText>
        </w:r>
        <w:r w:rsidR="00A71191">
          <w:rPr>
            <w:noProof/>
            <w:webHidden/>
          </w:rPr>
        </w:r>
        <w:r w:rsidR="00A71191">
          <w:rPr>
            <w:noProof/>
            <w:webHidden/>
          </w:rPr>
          <w:fldChar w:fldCharType="separate"/>
        </w:r>
        <w:r w:rsidR="00D12F9F">
          <w:rPr>
            <w:noProof/>
            <w:webHidden/>
          </w:rPr>
          <w:t>15</w:t>
        </w:r>
        <w:r w:rsidR="00A71191">
          <w:rPr>
            <w:noProof/>
            <w:webHidden/>
          </w:rPr>
          <w:fldChar w:fldCharType="end"/>
        </w:r>
      </w:hyperlink>
    </w:p>
    <w:p w14:paraId="6A630A92" w14:textId="407C8076" w:rsidR="00A71191" w:rsidRDefault="006B7D48">
      <w:pPr>
        <w:pStyle w:val="21"/>
        <w:tabs>
          <w:tab w:val="right" w:leader="dot" w:pos="8494"/>
        </w:tabs>
        <w:rPr>
          <w:rFonts w:asciiTheme="minorHAnsi" w:eastAsiaTheme="minorEastAsia" w:hAnsiTheme="minorHAnsi" w:cstheme="minorBidi"/>
          <w:noProof/>
          <w:sz w:val="24"/>
        </w:rPr>
      </w:pPr>
      <w:hyperlink w:anchor="_Toc62934251" w:history="1">
        <w:r w:rsidR="00A71191" w:rsidRPr="00464873">
          <w:rPr>
            <w:rStyle w:val="af4"/>
            <w:rFonts w:asciiTheme="minorEastAsia" w:hAnsiTheme="minorEastAsia"/>
            <w:noProof/>
          </w:rPr>
          <w:t>六、指令的发送、确认及执行</w:t>
        </w:r>
        <w:r w:rsidR="00A71191">
          <w:rPr>
            <w:noProof/>
            <w:webHidden/>
          </w:rPr>
          <w:tab/>
        </w:r>
        <w:r w:rsidR="00A71191">
          <w:rPr>
            <w:noProof/>
            <w:webHidden/>
          </w:rPr>
          <w:fldChar w:fldCharType="begin"/>
        </w:r>
        <w:r w:rsidR="00A71191">
          <w:rPr>
            <w:noProof/>
            <w:webHidden/>
          </w:rPr>
          <w:instrText xml:space="preserve"> PAGEREF _Toc62934251 \h </w:instrText>
        </w:r>
        <w:r w:rsidR="00A71191">
          <w:rPr>
            <w:noProof/>
            <w:webHidden/>
          </w:rPr>
        </w:r>
        <w:r w:rsidR="00A71191">
          <w:rPr>
            <w:noProof/>
            <w:webHidden/>
          </w:rPr>
          <w:fldChar w:fldCharType="separate"/>
        </w:r>
        <w:r w:rsidR="00D12F9F">
          <w:rPr>
            <w:noProof/>
            <w:webHidden/>
          </w:rPr>
          <w:t>18</w:t>
        </w:r>
        <w:r w:rsidR="00A71191">
          <w:rPr>
            <w:noProof/>
            <w:webHidden/>
          </w:rPr>
          <w:fldChar w:fldCharType="end"/>
        </w:r>
      </w:hyperlink>
    </w:p>
    <w:p w14:paraId="74997F91" w14:textId="3C5A2244" w:rsidR="00A71191" w:rsidRDefault="006B7D48">
      <w:pPr>
        <w:pStyle w:val="21"/>
        <w:tabs>
          <w:tab w:val="right" w:leader="dot" w:pos="8494"/>
        </w:tabs>
        <w:rPr>
          <w:rFonts w:asciiTheme="minorHAnsi" w:eastAsiaTheme="minorEastAsia" w:hAnsiTheme="minorHAnsi" w:cstheme="minorBidi"/>
          <w:noProof/>
          <w:sz w:val="24"/>
        </w:rPr>
      </w:pPr>
      <w:hyperlink w:anchor="_Toc62934252" w:history="1">
        <w:r w:rsidR="00A71191" w:rsidRPr="00464873">
          <w:rPr>
            <w:rStyle w:val="af4"/>
            <w:rFonts w:asciiTheme="minorEastAsia" w:hAnsiTheme="minorEastAsia"/>
            <w:noProof/>
          </w:rPr>
          <w:t>七、交易及清算交收安排</w:t>
        </w:r>
        <w:r w:rsidR="00A71191">
          <w:rPr>
            <w:noProof/>
            <w:webHidden/>
          </w:rPr>
          <w:tab/>
        </w:r>
        <w:r w:rsidR="00A71191">
          <w:rPr>
            <w:noProof/>
            <w:webHidden/>
          </w:rPr>
          <w:fldChar w:fldCharType="begin"/>
        </w:r>
        <w:r w:rsidR="00A71191">
          <w:rPr>
            <w:noProof/>
            <w:webHidden/>
          </w:rPr>
          <w:instrText xml:space="preserve"> PAGEREF _Toc62934252 \h </w:instrText>
        </w:r>
        <w:r w:rsidR="00A71191">
          <w:rPr>
            <w:noProof/>
            <w:webHidden/>
          </w:rPr>
        </w:r>
        <w:r w:rsidR="00A71191">
          <w:rPr>
            <w:noProof/>
            <w:webHidden/>
          </w:rPr>
          <w:fldChar w:fldCharType="separate"/>
        </w:r>
        <w:r w:rsidR="00D12F9F">
          <w:rPr>
            <w:noProof/>
            <w:webHidden/>
          </w:rPr>
          <w:t>21</w:t>
        </w:r>
        <w:r w:rsidR="00A71191">
          <w:rPr>
            <w:noProof/>
            <w:webHidden/>
          </w:rPr>
          <w:fldChar w:fldCharType="end"/>
        </w:r>
      </w:hyperlink>
    </w:p>
    <w:p w14:paraId="3FBFD988" w14:textId="23A75F5E" w:rsidR="00A71191" w:rsidRDefault="006B7D48">
      <w:pPr>
        <w:pStyle w:val="21"/>
        <w:tabs>
          <w:tab w:val="right" w:leader="dot" w:pos="8494"/>
        </w:tabs>
        <w:rPr>
          <w:rFonts w:asciiTheme="minorHAnsi" w:eastAsiaTheme="minorEastAsia" w:hAnsiTheme="minorHAnsi" w:cstheme="minorBidi"/>
          <w:noProof/>
          <w:sz w:val="24"/>
        </w:rPr>
      </w:pPr>
      <w:hyperlink w:anchor="_Toc62934253" w:history="1">
        <w:r w:rsidR="00A71191" w:rsidRPr="00464873">
          <w:rPr>
            <w:rStyle w:val="af4"/>
            <w:rFonts w:asciiTheme="minorEastAsia" w:hAnsiTheme="minorEastAsia"/>
            <w:noProof/>
          </w:rPr>
          <w:t>八、基金资产净值计算和会计核算</w:t>
        </w:r>
        <w:r w:rsidR="00A71191">
          <w:rPr>
            <w:noProof/>
            <w:webHidden/>
          </w:rPr>
          <w:tab/>
        </w:r>
        <w:r w:rsidR="00A71191">
          <w:rPr>
            <w:noProof/>
            <w:webHidden/>
          </w:rPr>
          <w:fldChar w:fldCharType="begin"/>
        </w:r>
        <w:r w:rsidR="00A71191">
          <w:rPr>
            <w:noProof/>
            <w:webHidden/>
          </w:rPr>
          <w:instrText xml:space="preserve"> PAGEREF _Toc62934253 \h </w:instrText>
        </w:r>
        <w:r w:rsidR="00A71191">
          <w:rPr>
            <w:noProof/>
            <w:webHidden/>
          </w:rPr>
        </w:r>
        <w:r w:rsidR="00A71191">
          <w:rPr>
            <w:noProof/>
            <w:webHidden/>
          </w:rPr>
          <w:fldChar w:fldCharType="separate"/>
        </w:r>
        <w:r w:rsidR="00D12F9F">
          <w:rPr>
            <w:noProof/>
            <w:webHidden/>
          </w:rPr>
          <w:t>26</w:t>
        </w:r>
        <w:r w:rsidR="00A71191">
          <w:rPr>
            <w:noProof/>
            <w:webHidden/>
          </w:rPr>
          <w:fldChar w:fldCharType="end"/>
        </w:r>
      </w:hyperlink>
    </w:p>
    <w:p w14:paraId="3E0919FD" w14:textId="28329543" w:rsidR="00A71191" w:rsidRDefault="006B7D48">
      <w:pPr>
        <w:pStyle w:val="21"/>
        <w:tabs>
          <w:tab w:val="right" w:leader="dot" w:pos="8494"/>
        </w:tabs>
        <w:rPr>
          <w:rFonts w:asciiTheme="minorHAnsi" w:eastAsiaTheme="minorEastAsia" w:hAnsiTheme="minorHAnsi" w:cstheme="minorBidi"/>
          <w:noProof/>
          <w:sz w:val="24"/>
        </w:rPr>
      </w:pPr>
      <w:hyperlink w:anchor="_Toc62934254" w:history="1">
        <w:r w:rsidR="00A71191" w:rsidRPr="00464873">
          <w:rPr>
            <w:rStyle w:val="af4"/>
            <w:rFonts w:asciiTheme="minorEastAsia" w:hAnsiTheme="minorEastAsia"/>
            <w:noProof/>
          </w:rPr>
          <w:t>九、基金收益分配</w:t>
        </w:r>
        <w:r w:rsidR="00A71191">
          <w:rPr>
            <w:noProof/>
            <w:webHidden/>
          </w:rPr>
          <w:tab/>
        </w:r>
        <w:r w:rsidR="00A71191">
          <w:rPr>
            <w:noProof/>
            <w:webHidden/>
          </w:rPr>
          <w:fldChar w:fldCharType="begin"/>
        </w:r>
        <w:r w:rsidR="00A71191">
          <w:rPr>
            <w:noProof/>
            <w:webHidden/>
          </w:rPr>
          <w:instrText xml:space="preserve"> PAGEREF _Toc62934254 \h </w:instrText>
        </w:r>
        <w:r w:rsidR="00A71191">
          <w:rPr>
            <w:noProof/>
            <w:webHidden/>
          </w:rPr>
        </w:r>
        <w:r w:rsidR="00A71191">
          <w:rPr>
            <w:noProof/>
            <w:webHidden/>
          </w:rPr>
          <w:fldChar w:fldCharType="separate"/>
        </w:r>
        <w:r w:rsidR="00D12F9F">
          <w:rPr>
            <w:noProof/>
            <w:webHidden/>
          </w:rPr>
          <w:t>31</w:t>
        </w:r>
        <w:r w:rsidR="00A71191">
          <w:rPr>
            <w:noProof/>
            <w:webHidden/>
          </w:rPr>
          <w:fldChar w:fldCharType="end"/>
        </w:r>
      </w:hyperlink>
    </w:p>
    <w:p w14:paraId="7E36C1BE" w14:textId="18F1D8B1" w:rsidR="00A71191" w:rsidRDefault="006B7D48">
      <w:pPr>
        <w:pStyle w:val="21"/>
        <w:tabs>
          <w:tab w:val="right" w:leader="dot" w:pos="8494"/>
        </w:tabs>
        <w:rPr>
          <w:rFonts w:asciiTheme="minorHAnsi" w:eastAsiaTheme="minorEastAsia" w:hAnsiTheme="minorHAnsi" w:cstheme="minorBidi"/>
          <w:noProof/>
          <w:sz w:val="24"/>
        </w:rPr>
      </w:pPr>
      <w:hyperlink w:anchor="_Toc62934255" w:history="1">
        <w:r w:rsidR="00A71191" w:rsidRPr="00464873">
          <w:rPr>
            <w:rStyle w:val="af4"/>
            <w:rFonts w:asciiTheme="minorEastAsia" w:hAnsiTheme="minorEastAsia"/>
            <w:noProof/>
          </w:rPr>
          <w:t>十、基金信息披露</w:t>
        </w:r>
        <w:r w:rsidR="00A71191">
          <w:rPr>
            <w:noProof/>
            <w:webHidden/>
          </w:rPr>
          <w:tab/>
        </w:r>
        <w:r w:rsidR="00A71191">
          <w:rPr>
            <w:noProof/>
            <w:webHidden/>
          </w:rPr>
          <w:fldChar w:fldCharType="begin"/>
        </w:r>
        <w:r w:rsidR="00A71191">
          <w:rPr>
            <w:noProof/>
            <w:webHidden/>
          </w:rPr>
          <w:instrText xml:space="preserve"> PAGEREF _Toc62934255 \h </w:instrText>
        </w:r>
        <w:r w:rsidR="00A71191">
          <w:rPr>
            <w:noProof/>
            <w:webHidden/>
          </w:rPr>
        </w:r>
        <w:r w:rsidR="00A71191">
          <w:rPr>
            <w:noProof/>
            <w:webHidden/>
          </w:rPr>
          <w:fldChar w:fldCharType="separate"/>
        </w:r>
        <w:r w:rsidR="00D12F9F">
          <w:rPr>
            <w:noProof/>
            <w:webHidden/>
          </w:rPr>
          <w:t>32</w:t>
        </w:r>
        <w:r w:rsidR="00A71191">
          <w:rPr>
            <w:noProof/>
            <w:webHidden/>
          </w:rPr>
          <w:fldChar w:fldCharType="end"/>
        </w:r>
      </w:hyperlink>
    </w:p>
    <w:p w14:paraId="15B39721" w14:textId="1914D798" w:rsidR="00A71191" w:rsidRDefault="006B7D48">
      <w:pPr>
        <w:pStyle w:val="21"/>
        <w:tabs>
          <w:tab w:val="right" w:leader="dot" w:pos="8494"/>
        </w:tabs>
        <w:rPr>
          <w:rFonts w:asciiTheme="minorHAnsi" w:eastAsiaTheme="minorEastAsia" w:hAnsiTheme="minorHAnsi" w:cstheme="minorBidi"/>
          <w:noProof/>
          <w:sz w:val="24"/>
        </w:rPr>
      </w:pPr>
      <w:hyperlink w:anchor="_Toc62934256" w:history="1">
        <w:r w:rsidR="00A71191" w:rsidRPr="00464873">
          <w:rPr>
            <w:rStyle w:val="af4"/>
            <w:rFonts w:asciiTheme="minorEastAsia" w:hAnsiTheme="minorEastAsia"/>
            <w:noProof/>
          </w:rPr>
          <w:t>十一、基金费用</w:t>
        </w:r>
        <w:r w:rsidR="00A71191">
          <w:rPr>
            <w:noProof/>
            <w:webHidden/>
          </w:rPr>
          <w:tab/>
        </w:r>
        <w:r w:rsidR="00A71191">
          <w:rPr>
            <w:noProof/>
            <w:webHidden/>
          </w:rPr>
          <w:fldChar w:fldCharType="begin"/>
        </w:r>
        <w:r w:rsidR="00A71191">
          <w:rPr>
            <w:noProof/>
            <w:webHidden/>
          </w:rPr>
          <w:instrText xml:space="preserve"> PAGEREF _Toc62934256 \h </w:instrText>
        </w:r>
        <w:r w:rsidR="00A71191">
          <w:rPr>
            <w:noProof/>
            <w:webHidden/>
          </w:rPr>
        </w:r>
        <w:r w:rsidR="00A71191">
          <w:rPr>
            <w:noProof/>
            <w:webHidden/>
          </w:rPr>
          <w:fldChar w:fldCharType="separate"/>
        </w:r>
        <w:r w:rsidR="00D12F9F">
          <w:rPr>
            <w:noProof/>
            <w:webHidden/>
          </w:rPr>
          <w:t>34</w:t>
        </w:r>
        <w:r w:rsidR="00A71191">
          <w:rPr>
            <w:noProof/>
            <w:webHidden/>
          </w:rPr>
          <w:fldChar w:fldCharType="end"/>
        </w:r>
      </w:hyperlink>
    </w:p>
    <w:p w14:paraId="25B97F44" w14:textId="381256ED" w:rsidR="00A71191" w:rsidRDefault="006B7D48">
      <w:pPr>
        <w:pStyle w:val="21"/>
        <w:tabs>
          <w:tab w:val="right" w:leader="dot" w:pos="8494"/>
        </w:tabs>
        <w:rPr>
          <w:rFonts w:asciiTheme="minorHAnsi" w:eastAsiaTheme="minorEastAsia" w:hAnsiTheme="minorHAnsi" w:cstheme="minorBidi"/>
          <w:noProof/>
          <w:sz w:val="24"/>
        </w:rPr>
      </w:pPr>
      <w:hyperlink w:anchor="_Toc62934257" w:history="1">
        <w:r w:rsidR="00A71191" w:rsidRPr="00464873">
          <w:rPr>
            <w:rStyle w:val="af4"/>
            <w:rFonts w:asciiTheme="majorEastAsia" w:eastAsiaTheme="majorEastAsia" w:hAnsiTheme="majorEastAsia"/>
            <w:noProof/>
          </w:rPr>
          <w:t>十二、基金份额持有人名册的保管</w:t>
        </w:r>
        <w:r w:rsidR="00A71191">
          <w:rPr>
            <w:noProof/>
            <w:webHidden/>
          </w:rPr>
          <w:tab/>
        </w:r>
        <w:r w:rsidR="00A71191">
          <w:rPr>
            <w:noProof/>
            <w:webHidden/>
          </w:rPr>
          <w:fldChar w:fldCharType="begin"/>
        </w:r>
        <w:r w:rsidR="00A71191">
          <w:rPr>
            <w:noProof/>
            <w:webHidden/>
          </w:rPr>
          <w:instrText xml:space="preserve"> PAGEREF _Toc62934257 \h </w:instrText>
        </w:r>
        <w:r w:rsidR="00A71191">
          <w:rPr>
            <w:noProof/>
            <w:webHidden/>
          </w:rPr>
        </w:r>
        <w:r w:rsidR="00A71191">
          <w:rPr>
            <w:noProof/>
            <w:webHidden/>
          </w:rPr>
          <w:fldChar w:fldCharType="separate"/>
        </w:r>
        <w:r w:rsidR="00D12F9F">
          <w:rPr>
            <w:noProof/>
            <w:webHidden/>
          </w:rPr>
          <w:t>36</w:t>
        </w:r>
        <w:r w:rsidR="00A71191">
          <w:rPr>
            <w:noProof/>
            <w:webHidden/>
          </w:rPr>
          <w:fldChar w:fldCharType="end"/>
        </w:r>
      </w:hyperlink>
    </w:p>
    <w:p w14:paraId="585428F8" w14:textId="2D100BBF" w:rsidR="00A71191" w:rsidRDefault="006B7D48">
      <w:pPr>
        <w:pStyle w:val="21"/>
        <w:tabs>
          <w:tab w:val="right" w:leader="dot" w:pos="8494"/>
        </w:tabs>
        <w:rPr>
          <w:rFonts w:asciiTheme="minorHAnsi" w:eastAsiaTheme="minorEastAsia" w:hAnsiTheme="minorHAnsi" w:cstheme="minorBidi"/>
          <w:noProof/>
          <w:sz w:val="24"/>
        </w:rPr>
      </w:pPr>
      <w:hyperlink w:anchor="_Toc62934258" w:history="1">
        <w:r w:rsidR="00A71191" w:rsidRPr="00464873">
          <w:rPr>
            <w:rStyle w:val="af4"/>
            <w:rFonts w:asciiTheme="majorEastAsia" w:eastAsiaTheme="majorEastAsia" w:hAnsiTheme="majorEastAsia"/>
            <w:noProof/>
          </w:rPr>
          <w:t>十三、基金有关文件档案的保存</w:t>
        </w:r>
        <w:r w:rsidR="00A71191">
          <w:rPr>
            <w:noProof/>
            <w:webHidden/>
          </w:rPr>
          <w:tab/>
        </w:r>
        <w:r w:rsidR="00A71191">
          <w:rPr>
            <w:noProof/>
            <w:webHidden/>
          </w:rPr>
          <w:fldChar w:fldCharType="begin"/>
        </w:r>
        <w:r w:rsidR="00A71191">
          <w:rPr>
            <w:noProof/>
            <w:webHidden/>
          </w:rPr>
          <w:instrText xml:space="preserve"> PAGEREF _Toc62934258 \h </w:instrText>
        </w:r>
        <w:r w:rsidR="00A71191">
          <w:rPr>
            <w:noProof/>
            <w:webHidden/>
          </w:rPr>
        </w:r>
        <w:r w:rsidR="00A71191">
          <w:rPr>
            <w:noProof/>
            <w:webHidden/>
          </w:rPr>
          <w:fldChar w:fldCharType="separate"/>
        </w:r>
        <w:r w:rsidR="00D12F9F">
          <w:rPr>
            <w:noProof/>
            <w:webHidden/>
          </w:rPr>
          <w:t>37</w:t>
        </w:r>
        <w:r w:rsidR="00A71191">
          <w:rPr>
            <w:noProof/>
            <w:webHidden/>
          </w:rPr>
          <w:fldChar w:fldCharType="end"/>
        </w:r>
      </w:hyperlink>
    </w:p>
    <w:p w14:paraId="2FB4A70F" w14:textId="29BFCC8E" w:rsidR="00A71191" w:rsidRDefault="006B7D48">
      <w:pPr>
        <w:pStyle w:val="21"/>
        <w:tabs>
          <w:tab w:val="right" w:leader="dot" w:pos="8494"/>
        </w:tabs>
        <w:rPr>
          <w:rFonts w:asciiTheme="minorHAnsi" w:eastAsiaTheme="minorEastAsia" w:hAnsiTheme="minorHAnsi" w:cstheme="minorBidi"/>
          <w:noProof/>
          <w:sz w:val="24"/>
        </w:rPr>
      </w:pPr>
      <w:hyperlink w:anchor="_Toc62934259" w:history="1">
        <w:r w:rsidR="00A71191" w:rsidRPr="00464873">
          <w:rPr>
            <w:rStyle w:val="af4"/>
            <w:rFonts w:asciiTheme="minorEastAsia" w:hAnsiTheme="minorEastAsia"/>
            <w:noProof/>
          </w:rPr>
          <w:t>十四、基金管理人和基金托管人的更换</w:t>
        </w:r>
        <w:r w:rsidR="00A71191">
          <w:rPr>
            <w:noProof/>
            <w:webHidden/>
          </w:rPr>
          <w:tab/>
        </w:r>
        <w:r w:rsidR="00A71191">
          <w:rPr>
            <w:noProof/>
            <w:webHidden/>
          </w:rPr>
          <w:fldChar w:fldCharType="begin"/>
        </w:r>
        <w:r w:rsidR="00A71191">
          <w:rPr>
            <w:noProof/>
            <w:webHidden/>
          </w:rPr>
          <w:instrText xml:space="preserve"> PAGEREF _Toc62934259 \h </w:instrText>
        </w:r>
        <w:r w:rsidR="00A71191">
          <w:rPr>
            <w:noProof/>
            <w:webHidden/>
          </w:rPr>
        </w:r>
        <w:r w:rsidR="00A71191">
          <w:rPr>
            <w:noProof/>
            <w:webHidden/>
          </w:rPr>
          <w:fldChar w:fldCharType="separate"/>
        </w:r>
        <w:r w:rsidR="00D12F9F">
          <w:rPr>
            <w:noProof/>
            <w:webHidden/>
          </w:rPr>
          <w:t>38</w:t>
        </w:r>
        <w:r w:rsidR="00A71191">
          <w:rPr>
            <w:noProof/>
            <w:webHidden/>
          </w:rPr>
          <w:fldChar w:fldCharType="end"/>
        </w:r>
      </w:hyperlink>
    </w:p>
    <w:p w14:paraId="4079B2AE" w14:textId="0C7F4C1D" w:rsidR="00A71191" w:rsidRDefault="006B7D48">
      <w:pPr>
        <w:pStyle w:val="21"/>
        <w:tabs>
          <w:tab w:val="right" w:leader="dot" w:pos="8494"/>
        </w:tabs>
        <w:rPr>
          <w:rFonts w:asciiTheme="minorHAnsi" w:eastAsiaTheme="minorEastAsia" w:hAnsiTheme="minorHAnsi" w:cstheme="minorBidi"/>
          <w:noProof/>
          <w:sz w:val="24"/>
        </w:rPr>
      </w:pPr>
      <w:hyperlink w:anchor="_Toc62934260" w:history="1">
        <w:r w:rsidR="00A71191" w:rsidRPr="00464873">
          <w:rPr>
            <w:rStyle w:val="af4"/>
            <w:rFonts w:asciiTheme="majorEastAsia" w:eastAsiaTheme="majorEastAsia" w:hAnsiTheme="majorEastAsia"/>
            <w:noProof/>
          </w:rPr>
          <w:t>十五、禁止行为</w:t>
        </w:r>
        <w:r w:rsidR="00A71191">
          <w:rPr>
            <w:noProof/>
            <w:webHidden/>
          </w:rPr>
          <w:tab/>
        </w:r>
        <w:r w:rsidR="00A71191">
          <w:rPr>
            <w:noProof/>
            <w:webHidden/>
          </w:rPr>
          <w:fldChar w:fldCharType="begin"/>
        </w:r>
        <w:r w:rsidR="00A71191">
          <w:rPr>
            <w:noProof/>
            <w:webHidden/>
          </w:rPr>
          <w:instrText xml:space="preserve"> PAGEREF _Toc62934260 \h </w:instrText>
        </w:r>
        <w:r w:rsidR="00A71191">
          <w:rPr>
            <w:noProof/>
            <w:webHidden/>
          </w:rPr>
        </w:r>
        <w:r w:rsidR="00A71191">
          <w:rPr>
            <w:noProof/>
            <w:webHidden/>
          </w:rPr>
          <w:fldChar w:fldCharType="separate"/>
        </w:r>
        <w:r w:rsidR="00D12F9F">
          <w:rPr>
            <w:noProof/>
            <w:webHidden/>
          </w:rPr>
          <w:t>41</w:t>
        </w:r>
        <w:r w:rsidR="00A71191">
          <w:rPr>
            <w:noProof/>
            <w:webHidden/>
          </w:rPr>
          <w:fldChar w:fldCharType="end"/>
        </w:r>
      </w:hyperlink>
    </w:p>
    <w:p w14:paraId="17C89AF3" w14:textId="0B1B9378" w:rsidR="00A71191" w:rsidRDefault="006B7D48">
      <w:pPr>
        <w:pStyle w:val="21"/>
        <w:tabs>
          <w:tab w:val="right" w:leader="dot" w:pos="8494"/>
        </w:tabs>
        <w:rPr>
          <w:rFonts w:asciiTheme="minorHAnsi" w:eastAsiaTheme="minorEastAsia" w:hAnsiTheme="minorHAnsi" w:cstheme="minorBidi"/>
          <w:noProof/>
          <w:sz w:val="24"/>
        </w:rPr>
      </w:pPr>
      <w:hyperlink w:anchor="_Toc62934261" w:history="1">
        <w:r w:rsidR="00A71191" w:rsidRPr="00464873">
          <w:rPr>
            <w:rStyle w:val="af4"/>
            <w:rFonts w:asciiTheme="majorEastAsia" w:eastAsiaTheme="majorEastAsia" w:hAnsiTheme="majorEastAsia"/>
            <w:noProof/>
          </w:rPr>
          <w:t>十六、托管协议的变更、终止与基金财产的清算</w:t>
        </w:r>
        <w:r w:rsidR="00A71191">
          <w:rPr>
            <w:noProof/>
            <w:webHidden/>
          </w:rPr>
          <w:tab/>
        </w:r>
        <w:r w:rsidR="00A71191">
          <w:rPr>
            <w:noProof/>
            <w:webHidden/>
          </w:rPr>
          <w:fldChar w:fldCharType="begin"/>
        </w:r>
        <w:r w:rsidR="00A71191">
          <w:rPr>
            <w:noProof/>
            <w:webHidden/>
          </w:rPr>
          <w:instrText xml:space="preserve"> PAGEREF _Toc62934261 \h </w:instrText>
        </w:r>
        <w:r w:rsidR="00A71191">
          <w:rPr>
            <w:noProof/>
            <w:webHidden/>
          </w:rPr>
        </w:r>
        <w:r w:rsidR="00A71191">
          <w:rPr>
            <w:noProof/>
            <w:webHidden/>
          </w:rPr>
          <w:fldChar w:fldCharType="separate"/>
        </w:r>
        <w:r w:rsidR="00D12F9F">
          <w:rPr>
            <w:noProof/>
            <w:webHidden/>
          </w:rPr>
          <w:t>42</w:t>
        </w:r>
        <w:r w:rsidR="00A71191">
          <w:rPr>
            <w:noProof/>
            <w:webHidden/>
          </w:rPr>
          <w:fldChar w:fldCharType="end"/>
        </w:r>
      </w:hyperlink>
    </w:p>
    <w:p w14:paraId="05ED18AC" w14:textId="7AFA8820" w:rsidR="00A71191" w:rsidRDefault="006B7D48">
      <w:pPr>
        <w:pStyle w:val="21"/>
        <w:tabs>
          <w:tab w:val="right" w:leader="dot" w:pos="8494"/>
        </w:tabs>
        <w:rPr>
          <w:rFonts w:asciiTheme="minorHAnsi" w:eastAsiaTheme="minorEastAsia" w:hAnsiTheme="minorHAnsi" w:cstheme="minorBidi"/>
          <w:noProof/>
          <w:sz w:val="24"/>
        </w:rPr>
      </w:pPr>
      <w:hyperlink w:anchor="_Toc62934262" w:history="1">
        <w:r w:rsidR="00A71191" w:rsidRPr="00464873">
          <w:rPr>
            <w:rStyle w:val="af4"/>
            <w:rFonts w:asciiTheme="minorEastAsia" w:hAnsiTheme="minorEastAsia"/>
            <w:noProof/>
          </w:rPr>
          <w:t>十七、违约责任</w:t>
        </w:r>
        <w:r w:rsidR="00A71191">
          <w:rPr>
            <w:noProof/>
            <w:webHidden/>
          </w:rPr>
          <w:tab/>
        </w:r>
        <w:r w:rsidR="00A71191">
          <w:rPr>
            <w:noProof/>
            <w:webHidden/>
          </w:rPr>
          <w:fldChar w:fldCharType="begin"/>
        </w:r>
        <w:r w:rsidR="00A71191">
          <w:rPr>
            <w:noProof/>
            <w:webHidden/>
          </w:rPr>
          <w:instrText xml:space="preserve"> PAGEREF _Toc62934262 \h </w:instrText>
        </w:r>
        <w:r w:rsidR="00A71191">
          <w:rPr>
            <w:noProof/>
            <w:webHidden/>
          </w:rPr>
        </w:r>
        <w:r w:rsidR="00A71191">
          <w:rPr>
            <w:noProof/>
            <w:webHidden/>
          </w:rPr>
          <w:fldChar w:fldCharType="separate"/>
        </w:r>
        <w:r w:rsidR="00D12F9F">
          <w:rPr>
            <w:noProof/>
            <w:webHidden/>
          </w:rPr>
          <w:t>44</w:t>
        </w:r>
        <w:r w:rsidR="00A71191">
          <w:rPr>
            <w:noProof/>
            <w:webHidden/>
          </w:rPr>
          <w:fldChar w:fldCharType="end"/>
        </w:r>
      </w:hyperlink>
    </w:p>
    <w:p w14:paraId="73D84164" w14:textId="7DC33EF8" w:rsidR="00A71191" w:rsidRDefault="006B7D48">
      <w:pPr>
        <w:pStyle w:val="21"/>
        <w:tabs>
          <w:tab w:val="right" w:leader="dot" w:pos="8494"/>
        </w:tabs>
        <w:rPr>
          <w:rFonts w:asciiTheme="minorHAnsi" w:eastAsiaTheme="minorEastAsia" w:hAnsiTheme="minorHAnsi" w:cstheme="minorBidi"/>
          <w:noProof/>
          <w:sz w:val="24"/>
        </w:rPr>
      </w:pPr>
      <w:hyperlink w:anchor="_Toc62934263" w:history="1">
        <w:r w:rsidR="00A71191" w:rsidRPr="00464873">
          <w:rPr>
            <w:rStyle w:val="af4"/>
            <w:rFonts w:asciiTheme="minorEastAsia" w:hAnsiTheme="minorEastAsia"/>
            <w:noProof/>
          </w:rPr>
          <w:t>十八、争议解决方式</w:t>
        </w:r>
        <w:r w:rsidR="00A71191">
          <w:rPr>
            <w:noProof/>
            <w:webHidden/>
          </w:rPr>
          <w:tab/>
        </w:r>
        <w:r w:rsidR="00A71191">
          <w:rPr>
            <w:noProof/>
            <w:webHidden/>
          </w:rPr>
          <w:fldChar w:fldCharType="begin"/>
        </w:r>
        <w:r w:rsidR="00A71191">
          <w:rPr>
            <w:noProof/>
            <w:webHidden/>
          </w:rPr>
          <w:instrText xml:space="preserve"> PAGEREF _Toc62934263 \h </w:instrText>
        </w:r>
        <w:r w:rsidR="00A71191">
          <w:rPr>
            <w:noProof/>
            <w:webHidden/>
          </w:rPr>
        </w:r>
        <w:r w:rsidR="00A71191">
          <w:rPr>
            <w:noProof/>
            <w:webHidden/>
          </w:rPr>
          <w:fldChar w:fldCharType="separate"/>
        </w:r>
        <w:r w:rsidR="00D12F9F">
          <w:rPr>
            <w:noProof/>
            <w:webHidden/>
          </w:rPr>
          <w:t>45</w:t>
        </w:r>
        <w:r w:rsidR="00A71191">
          <w:rPr>
            <w:noProof/>
            <w:webHidden/>
          </w:rPr>
          <w:fldChar w:fldCharType="end"/>
        </w:r>
      </w:hyperlink>
    </w:p>
    <w:p w14:paraId="4A51A166" w14:textId="5FD52DF3" w:rsidR="00A71191" w:rsidRDefault="006B7D48">
      <w:pPr>
        <w:pStyle w:val="21"/>
        <w:tabs>
          <w:tab w:val="right" w:leader="dot" w:pos="8494"/>
        </w:tabs>
        <w:rPr>
          <w:rFonts w:asciiTheme="minorHAnsi" w:eastAsiaTheme="minorEastAsia" w:hAnsiTheme="minorHAnsi" w:cstheme="minorBidi"/>
          <w:noProof/>
          <w:sz w:val="24"/>
        </w:rPr>
      </w:pPr>
      <w:hyperlink w:anchor="_Toc62934264" w:history="1">
        <w:r w:rsidR="00A71191" w:rsidRPr="00464873">
          <w:rPr>
            <w:rStyle w:val="af4"/>
            <w:rFonts w:asciiTheme="minorEastAsia" w:hAnsiTheme="minorEastAsia"/>
            <w:noProof/>
          </w:rPr>
          <w:t>十九、托管协议的效力</w:t>
        </w:r>
        <w:r w:rsidR="00A71191">
          <w:rPr>
            <w:noProof/>
            <w:webHidden/>
          </w:rPr>
          <w:tab/>
        </w:r>
        <w:r w:rsidR="00A71191">
          <w:rPr>
            <w:noProof/>
            <w:webHidden/>
          </w:rPr>
          <w:fldChar w:fldCharType="begin"/>
        </w:r>
        <w:r w:rsidR="00A71191">
          <w:rPr>
            <w:noProof/>
            <w:webHidden/>
          </w:rPr>
          <w:instrText xml:space="preserve"> PAGEREF _Toc62934264 \h </w:instrText>
        </w:r>
        <w:r w:rsidR="00A71191">
          <w:rPr>
            <w:noProof/>
            <w:webHidden/>
          </w:rPr>
        </w:r>
        <w:r w:rsidR="00A71191">
          <w:rPr>
            <w:noProof/>
            <w:webHidden/>
          </w:rPr>
          <w:fldChar w:fldCharType="separate"/>
        </w:r>
        <w:r w:rsidR="00D12F9F">
          <w:rPr>
            <w:noProof/>
            <w:webHidden/>
          </w:rPr>
          <w:t>46</w:t>
        </w:r>
        <w:r w:rsidR="00A71191">
          <w:rPr>
            <w:noProof/>
            <w:webHidden/>
          </w:rPr>
          <w:fldChar w:fldCharType="end"/>
        </w:r>
      </w:hyperlink>
    </w:p>
    <w:p w14:paraId="38A99A80" w14:textId="0E278AC7" w:rsidR="00A71191" w:rsidRDefault="006B7D48">
      <w:pPr>
        <w:pStyle w:val="21"/>
        <w:tabs>
          <w:tab w:val="right" w:leader="dot" w:pos="8494"/>
        </w:tabs>
        <w:rPr>
          <w:rFonts w:asciiTheme="minorHAnsi" w:eastAsiaTheme="minorEastAsia" w:hAnsiTheme="minorHAnsi" w:cstheme="minorBidi"/>
          <w:noProof/>
          <w:sz w:val="24"/>
        </w:rPr>
      </w:pPr>
      <w:hyperlink w:anchor="_Toc62934265" w:history="1">
        <w:r w:rsidR="00A71191" w:rsidRPr="00464873">
          <w:rPr>
            <w:rStyle w:val="af4"/>
            <w:rFonts w:asciiTheme="majorEastAsia" w:eastAsiaTheme="majorEastAsia" w:hAnsiTheme="majorEastAsia"/>
            <w:noProof/>
          </w:rPr>
          <w:t>二十、其他事项</w:t>
        </w:r>
        <w:r w:rsidR="00A71191">
          <w:rPr>
            <w:noProof/>
            <w:webHidden/>
          </w:rPr>
          <w:tab/>
        </w:r>
        <w:r w:rsidR="00A71191">
          <w:rPr>
            <w:noProof/>
            <w:webHidden/>
          </w:rPr>
          <w:fldChar w:fldCharType="begin"/>
        </w:r>
        <w:r w:rsidR="00A71191">
          <w:rPr>
            <w:noProof/>
            <w:webHidden/>
          </w:rPr>
          <w:instrText xml:space="preserve"> PAGEREF _Toc62934265 \h </w:instrText>
        </w:r>
        <w:r w:rsidR="00A71191">
          <w:rPr>
            <w:noProof/>
            <w:webHidden/>
          </w:rPr>
        </w:r>
        <w:r w:rsidR="00A71191">
          <w:rPr>
            <w:noProof/>
            <w:webHidden/>
          </w:rPr>
          <w:fldChar w:fldCharType="separate"/>
        </w:r>
        <w:r w:rsidR="00D12F9F">
          <w:rPr>
            <w:noProof/>
            <w:webHidden/>
          </w:rPr>
          <w:t>47</w:t>
        </w:r>
        <w:r w:rsidR="00A71191">
          <w:rPr>
            <w:noProof/>
            <w:webHidden/>
          </w:rPr>
          <w:fldChar w:fldCharType="end"/>
        </w:r>
      </w:hyperlink>
    </w:p>
    <w:p w14:paraId="5D98EF2C" w14:textId="346F6D1C" w:rsidR="00A71191" w:rsidRDefault="006B7D48">
      <w:pPr>
        <w:pStyle w:val="21"/>
        <w:tabs>
          <w:tab w:val="right" w:leader="dot" w:pos="8494"/>
        </w:tabs>
        <w:rPr>
          <w:rFonts w:asciiTheme="minorHAnsi" w:eastAsiaTheme="minorEastAsia" w:hAnsiTheme="minorHAnsi" w:cstheme="minorBidi"/>
          <w:noProof/>
          <w:sz w:val="24"/>
        </w:rPr>
      </w:pPr>
      <w:hyperlink w:anchor="_Toc62934266" w:history="1">
        <w:r w:rsidR="00A71191" w:rsidRPr="00464873">
          <w:rPr>
            <w:rStyle w:val="af4"/>
            <w:rFonts w:asciiTheme="minorEastAsia" w:hAnsiTheme="minorEastAsia"/>
            <w:noProof/>
          </w:rPr>
          <w:t>二十一、托管协议的签订</w:t>
        </w:r>
        <w:r w:rsidR="00A71191">
          <w:rPr>
            <w:noProof/>
            <w:webHidden/>
          </w:rPr>
          <w:tab/>
        </w:r>
        <w:r w:rsidR="00A71191">
          <w:rPr>
            <w:noProof/>
            <w:webHidden/>
          </w:rPr>
          <w:fldChar w:fldCharType="begin"/>
        </w:r>
        <w:r w:rsidR="00A71191">
          <w:rPr>
            <w:noProof/>
            <w:webHidden/>
          </w:rPr>
          <w:instrText xml:space="preserve"> PAGEREF _Toc62934266 \h </w:instrText>
        </w:r>
        <w:r w:rsidR="00A71191">
          <w:rPr>
            <w:noProof/>
            <w:webHidden/>
          </w:rPr>
        </w:r>
        <w:r w:rsidR="00A71191">
          <w:rPr>
            <w:noProof/>
            <w:webHidden/>
          </w:rPr>
          <w:fldChar w:fldCharType="separate"/>
        </w:r>
        <w:r w:rsidR="00D12F9F">
          <w:rPr>
            <w:noProof/>
            <w:webHidden/>
          </w:rPr>
          <w:t>48</w:t>
        </w:r>
        <w:r w:rsidR="00A71191">
          <w:rPr>
            <w:noProof/>
            <w:webHidden/>
          </w:rPr>
          <w:fldChar w:fldCharType="end"/>
        </w:r>
      </w:hyperlink>
    </w:p>
    <w:p w14:paraId="00A02745" w14:textId="3BEA6436" w:rsidR="00553A42" w:rsidRDefault="00827B77">
      <w:pPr>
        <w:snapToGrid w:val="0"/>
        <w:spacing w:line="360" w:lineRule="auto"/>
        <w:rPr>
          <w:rFonts w:ascii="彩虹粗仿宋" w:eastAsia="彩虹粗仿宋"/>
          <w:sz w:val="24"/>
        </w:rPr>
      </w:pPr>
      <w:r>
        <w:rPr>
          <w:rFonts w:ascii="宋体" w:hAnsi="宋体" w:hint="eastAsia"/>
          <w:sz w:val="24"/>
        </w:rPr>
        <w:fldChar w:fldCharType="end"/>
      </w:r>
    </w:p>
    <w:p w14:paraId="00CDD7F7" w14:textId="77777777" w:rsidR="00B40BEC" w:rsidRDefault="00B40BEC">
      <w:pPr>
        <w:widowControl/>
        <w:jc w:val="left"/>
        <w:rPr>
          <w:rFonts w:ascii="宋体" w:hAnsi="宋体" w:cs="Arial"/>
          <w:kern w:val="0"/>
          <w:sz w:val="24"/>
        </w:rPr>
      </w:pPr>
      <w:r>
        <w:rPr>
          <w:rFonts w:ascii="宋体" w:hAnsi="宋体" w:cs="Arial"/>
          <w:kern w:val="0"/>
          <w:sz w:val="24"/>
        </w:rPr>
        <w:br w:type="page"/>
      </w:r>
    </w:p>
    <w:p w14:paraId="33087FCE" w14:textId="4DC66AF9" w:rsidR="00FE32CB" w:rsidRDefault="00F379A8">
      <w:pPr>
        <w:widowControl/>
        <w:adjustRightInd w:val="0"/>
        <w:snapToGrid w:val="0"/>
        <w:spacing w:line="360" w:lineRule="auto"/>
        <w:ind w:firstLineChars="200" w:firstLine="480"/>
        <w:rPr>
          <w:rFonts w:ascii="宋体" w:hAnsi="宋体" w:cs="Arial"/>
          <w:kern w:val="0"/>
          <w:sz w:val="24"/>
        </w:rPr>
      </w:pPr>
      <w:r w:rsidRPr="00F379A8">
        <w:rPr>
          <w:rFonts w:ascii="宋体" w:hAnsi="宋体" w:cs="Arial" w:hint="eastAsia"/>
          <w:kern w:val="0"/>
          <w:sz w:val="24"/>
        </w:rPr>
        <w:lastRenderedPageBreak/>
        <w:t>中国建设银行股份有限公司为中国证监会指定的本基金临时基金托管人，后续有待基金份额持有人大会审议选聘新任基金托管人，如基金份额持有人大会决议6个月内未选聘出新任基金托管人，临时基金托管人将配合基金清算工作。临时基金托管人以下简称基金托管人或托管人。</w:t>
      </w:r>
    </w:p>
    <w:p w14:paraId="1B0F4009" w14:textId="5002C313"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鉴于</w:t>
      </w:r>
      <w:r>
        <w:rPr>
          <w:rFonts w:ascii="宋体" w:hAnsi="宋体" w:cs="Arial" w:hint="eastAsia"/>
          <w:sz w:val="24"/>
        </w:rPr>
        <w:t>民生加银</w:t>
      </w:r>
      <w:r>
        <w:rPr>
          <w:rFonts w:ascii="宋体" w:hAnsi="宋体" w:cs="Arial" w:hint="eastAsia"/>
          <w:kern w:val="0"/>
          <w:sz w:val="24"/>
        </w:rPr>
        <w:t>基金管理有限公司系一家依照中国法律合法成立并有效存续的有限责任公司，按照相关法律法规的规定具备担任基金管理人的资格和能力，</w:t>
      </w:r>
      <w:r w:rsidR="002D3169">
        <w:rPr>
          <w:rFonts w:ascii="宋体" w:hAnsi="宋体" w:cs="Arial" w:hint="eastAsia"/>
          <w:kern w:val="0"/>
          <w:sz w:val="24"/>
        </w:rPr>
        <w:t>已</w:t>
      </w:r>
      <w:r>
        <w:rPr>
          <w:rFonts w:ascii="宋体" w:hAnsi="宋体" w:cs="Arial" w:hint="eastAsia"/>
          <w:kern w:val="0"/>
          <w:sz w:val="24"/>
        </w:rPr>
        <w:t>募集发行</w:t>
      </w:r>
      <w:r>
        <w:rPr>
          <w:rFonts w:ascii="宋体" w:hAnsi="宋体" w:cs="Arial" w:hint="eastAsia"/>
          <w:sz w:val="24"/>
        </w:rPr>
        <w:t>民生加银鑫福灵活配置混合型</w:t>
      </w:r>
      <w:r>
        <w:rPr>
          <w:rFonts w:ascii="宋体" w:hAnsi="宋体" w:cs="Arial" w:hint="eastAsia"/>
          <w:kern w:val="0"/>
          <w:sz w:val="24"/>
        </w:rPr>
        <w:t>证券投资基金；</w:t>
      </w:r>
    </w:p>
    <w:p w14:paraId="33185511" w14:textId="150289F8"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鉴于</w:t>
      </w:r>
      <w:r w:rsidR="00C85F83">
        <w:rPr>
          <w:rFonts w:ascii="宋体" w:hAnsi="宋体" w:cs="Arial" w:hint="eastAsia"/>
          <w:kern w:val="0"/>
          <w:sz w:val="24"/>
        </w:rPr>
        <w:t>中国建设银行</w:t>
      </w:r>
      <w:r>
        <w:rPr>
          <w:rFonts w:ascii="宋体" w:hAnsi="宋体" w:cs="Arial" w:hint="eastAsia"/>
          <w:kern w:val="0"/>
          <w:sz w:val="24"/>
        </w:rPr>
        <w:t>股份有限公司系一家依照中国法律合法成立并有效存续的银行，按照相关法律法规的规定具备担任基金托管人的资格和能力；</w:t>
      </w:r>
    </w:p>
    <w:p w14:paraId="47842A34" w14:textId="7A1936B9"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鉴于</w:t>
      </w:r>
      <w:r>
        <w:rPr>
          <w:rFonts w:ascii="宋体" w:hAnsi="宋体" w:cs="Arial" w:hint="eastAsia"/>
          <w:sz w:val="24"/>
        </w:rPr>
        <w:t>民生加银</w:t>
      </w:r>
      <w:r>
        <w:rPr>
          <w:rFonts w:ascii="宋体" w:hAnsi="宋体" w:cs="Arial" w:hint="eastAsia"/>
          <w:kern w:val="0"/>
          <w:sz w:val="24"/>
        </w:rPr>
        <w:t>基金管理有限公司担任</w:t>
      </w:r>
      <w:r>
        <w:rPr>
          <w:rFonts w:ascii="宋体" w:hAnsi="宋体" w:cs="Arial" w:hint="eastAsia"/>
          <w:sz w:val="24"/>
        </w:rPr>
        <w:t>民生加银鑫福灵活配置混合型</w:t>
      </w:r>
      <w:r>
        <w:rPr>
          <w:rFonts w:ascii="宋体" w:hAnsi="宋体" w:cs="Arial" w:hint="eastAsia"/>
          <w:kern w:val="0"/>
          <w:sz w:val="24"/>
        </w:rPr>
        <w:t>证券投资基金的基金管理人，</w:t>
      </w:r>
      <w:r w:rsidR="00C85F83">
        <w:rPr>
          <w:rFonts w:ascii="宋体" w:hAnsi="宋体" w:cs="Arial" w:hint="eastAsia"/>
          <w:kern w:val="0"/>
          <w:sz w:val="24"/>
        </w:rPr>
        <w:t>中国建设银行</w:t>
      </w:r>
      <w:r>
        <w:rPr>
          <w:rFonts w:ascii="宋体" w:hAnsi="宋体" w:cs="Arial" w:hint="eastAsia"/>
          <w:kern w:val="0"/>
          <w:sz w:val="24"/>
        </w:rPr>
        <w:t>股份有限公司拟担任</w:t>
      </w:r>
      <w:r>
        <w:rPr>
          <w:rFonts w:ascii="宋体" w:hAnsi="宋体" w:cs="Arial" w:hint="eastAsia"/>
          <w:sz w:val="24"/>
        </w:rPr>
        <w:t>民生加银鑫福灵活配置混合型</w:t>
      </w:r>
      <w:r>
        <w:rPr>
          <w:rFonts w:ascii="宋体" w:hAnsi="宋体" w:cs="Arial" w:hint="eastAsia"/>
          <w:kern w:val="0"/>
          <w:sz w:val="24"/>
        </w:rPr>
        <w:t>证券投资基金的基金托管人；</w:t>
      </w:r>
    </w:p>
    <w:p w14:paraId="3453F7D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为明确</w:t>
      </w:r>
      <w:r>
        <w:rPr>
          <w:rFonts w:ascii="宋体" w:hAnsi="宋体" w:cs="Arial" w:hint="eastAsia"/>
          <w:sz w:val="24"/>
        </w:rPr>
        <w:t>民生加银鑫福灵活配置混合型</w:t>
      </w:r>
      <w:r>
        <w:rPr>
          <w:rFonts w:ascii="宋体" w:hAnsi="宋体" w:cs="Arial" w:hint="eastAsia"/>
          <w:kern w:val="0"/>
          <w:sz w:val="24"/>
        </w:rPr>
        <w:t>证券投资基金的基金管理人和基金托管人之间的权利义务关系，特制订本托管协议；</w:t>
      </w:r>
    </w:p>
    <w:p w14:paraId="14583805" w14:textId="77777777" w:rsidR="00553A42" w:rsidRDefault="00827B77">
      <w:pPr>
        <w:widowControl/>
        <w:adjustRightInd w:val="0"/>
        <w:snapToGrid w:val="0"/>
        <w:spacing w:line="360" w:lineRule="auto"/>
        <w:ind w:firstLineChars="200" w:firstLine="480"/>
        <w:rPr>
          <w:rFonts w:ascii="宋体" w:hAnsi="宋体" w:cs="Arial"/>
          <w:kern w:val="0"/>
          <w:sz w:val="24"/>
          <w:lang w:val="en-GB"/>
        </w:rPr>
      </w:pPr>
      <w:r>
        <w:rPr>
          <w:rFonts w:ascii="宋体" w:hAnsi="宋体" w:cs="Arial" w:hint="eastAsia"/>
          <w:kern w:val="0"/>
          <w:sz w:val="24"/>
          <w:lang w:val="en-GB"/>
        </w:rPr>
        <w:t>除非另有约定，《</w:t>
      </w:r>
      <w:r>
        <w:rPr>
          <w:rFonts w:ascii="宋体" w:hAnsi="宋体" w:cs="Arial" w:hint="eastAsia"/>
          <w:sz w:val="24"/>
        </w:rPr>
        <w:t>民生加银鑫福灵活配置混合型</w:t>
      </w:r>
      <w:r>
        <w:rPr>
          <w:rFonts w:ascii="宋体" w:hAnsi="宋体" w:cs="Arial" w:hint="eastAsia"/>
          <w:kern w:val="0"/>
          <w:sz w:val="24"/>
          <w:lang w:val="en-GB"/>
        </w:rPr>
        <w:t>证券投资基金基金合同》(以下简称“基金合同”)中定义的术语在用于本托管协议时应具有相同的含义；若有抵触应以《基金合同》为准，并依其</w:t>
      </w:r>
      <w:r>
        <w:rPr>
          <w:rFonts w:ascii="宋体" w:hAnsi="宋体" w:cs="Arial" w:hint="eastAsia"/>
          <w:kern w:val="0"/>
          <w:sz w:val="24"/>
        </w:rPr>
        <w:t>条款</w:t>
      </w:r>
      <w:r>
        <w:rPr>
          <w:rFonts w:ascii="宋体" w:hAnsi="宋体" w:cs="Arial" w:hint="eastAsia"/>
          <w:kern w:val="0"/>
          <w:sz w:val="24"/>
          <w:lang w:val="en-GB"/>
        </w:rPr>
        <w:t>解释。</w:t>
      </w:r>
    </w:p>
    <w:p w14:paraId="4D292956" w14:textId="664741BC" w:rsidR="00391BE7" w:rsidRDefault="00827B77" w:rsidP="006A5A85">
      <w:pPr>
        <w:widowControl/>
        <w:adjustRightInd w:val="0"/>
        <w:snapToGrid w:val="0"/>
        <w:spacing w:line="360" w:lineRule="auto"/>
        <w:ind w:firstLine="420"/>
        <w:rPr>
          <w:rFonts w:ascii="宋体" w:hAnsi="宋体" w:cs="Arial"/>
          <w:kern w:val="0"/>
          <w:sz w:val="24"/>
          <w:lang w:val="en-GB"/>
        </w:rPr>
      </w:pPr>
      <w:r>
        <w:rPr>
          <w:rFonts w:ascii="宋体" w:hAnsi="宋体" w:cs="Arial" w:hint="eastAsia"/>
          <w:kern w:val="0"/>
          <w:sz w:val="24"/>
          <w:lang w:val="en-GB"/>
        </w:rPr>
        <w:t>本基金信息披露事项以法律法规规定及基金合同“第十八部分  基金的信息披露”约定的内容为准。</w:t>
      </w:r>
    </w:p>
    <w:p w14:paraId="56B1BF15" w14:textId="018416DF" w:rsidR="00F379A8" w:rsidRPr="006A5A85" w:rsidRDefault="00F379A8" w:rsidP="006A5A85">
      <w:pPr>
        <w:widowControl/>
        <w:adjustRightInd w:val="0"/>
        <w:snapToGrid w:val="0"/>
        <w:spacing w:line="360" w:lineRule="auto"/>
        <w:ind w:firstLine="420"/>
        <w:rPr>
          <w:rFonts w:ascii="宋体" w:hAnsi="宋体" w:cs="Arial"/>
          <w:kern w:val="0"/>
          <w:sz w:val="24"/>
          <w:lang w:val="en-GB"/>
        </w:rPr>
      </w:pPr>
      <w:r w:rsidRPr="006A5A85">
        <w:rPr>
          <w:rFonts w:ascii="宋体" w:hAnsi="宋体" w:cs="Arial" w:hint="eastAsia"/>
          <w:kern w:val="0"/>
          <w:sz w:val="24"/>
          <w:lang w:val="en-GB"/>
        </w:rPr>
        <w:t>若本基金实施侧袋机制的，侧袋机制实施期间的相关安排见基金合同和招募说明书的规定。</w:t>
      </w:r>
    </w:p>
    <w:p w14:paraId="09C06F65" w14:textId="71A9421D" w:rsidR="00553A42" w:rsidRDefault="00391BE7" w:rsidP="006A5A85">
      <w:pPr>
        <w:widowControl/>
        <w:adjustRightInd w:val="0"/>
        <w:snapToGrid w:val="0"/>
        <w:spacing w:line="360" w:lineRule="auto"/>
        <w:rPr>
          <w:rFonts w:ascii="彩虹粗仿宋" w:eastAsia="彩虹粗仿宋"/>
          <w:sz w:val="24"/>
          <w:lang w:val="en-GB"/>
        </w:rPr>
      </w:pPr>
      <w:r>
        <w:rPr>
          <w:rFonts w:ascii="彩虹粗仿宋" w:eastAsia="彩虹粗仿宋"/>
          <w:sz w:val="24"/>
          <w:lang w:val="en-GB"/>
        </w:rPr>
        <w:br w:type="page"/>
      </w:r>
    </w:p>
    <w:p w14:paraId="2A12126A" w14:textId="77777777" w:rsidR="00553A42" w:rsidRPr="007764B1" w:rsidRDefault="00827B77">
      <w:pPr>
        <w:pStyle w:val="2"/>
        <w:jc w:val="center"/>
        <w:rPr>
          <w:rFonts w:asciiTheme="minorEastAsia" w:eastAsiaTheme="minorEastAsia" w:hAnsiTheme="minorEastAsia"/>
        </w:rPr>
      </w:pPr>
      <w:bookmarkStart w:id="5" w:name="_Toc62934246"/>
      <w:r w:rsidRPr="007764B1">
        <w:rPr>
          <w:rFonts w:asciiTheme="minorEastAsia" w:eastAsiaTheme="minorEastAsia" w:hAnsiTheme="minorEastAsia" w:hint="eastAsia"/>
        </w:rPr>
        <w:lastRenderedPageBreak/>
        <w:t>一、基金托管协议当事人</w:t>
      </w:r>
      <w:bookmarkEnd w:id="5"/>
    </w:p>
    <w:p w14:paraId="125938B7"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（一）基金管理人</w:t>
      </w:r>
    </w:p>
    <w:p w14:paraId="03E16D8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名称：民生加银基金管理有限公司</w:t>
      </w:r>
    </w:p>
    <w:p w14:paraId="7A3435A6" w14:textId="77777777" w:rsidR="00553A42" w:rsidRDefault="00827B77">
      <w:pPr>
        <w:autoSpaceDE w:val="0"/>
        <w:autoSpaceDN w:val="0"/>
        <w:adjustRightInd w:val="0"/>
        <w:spacing w:line="360" w:lineRule="auto"/>
        <w:ind w:firstLineChars="200" w:firstLine="480"/>
        <w:rPr>
          <w:rFonts w:ascii="宋体" w:hAnsi="宋体" w:cs="Arial"/>
          <w:kern w:val="0"/>
          <w:sz w:val="24"/>
        </w:rPr>
      </w:pPr>
      <w:r>
        <w:rPr>
          <w:rFonts w:ascii="宋体" w:hAnsi="宋体" w:cs="Arial" w:hint="eastAsia"/>
          <w:kern w:val="0"/>
          <w:sz w:val="24"/>
        </w:rPr>
        <w:t>注册地址：深圳市福田区莲花街道福中三路</w:t>
      </w:r>
      <w:r>
        <w:rPr>
          <w:rFonts w:ascii="宋体" w:hAnsi="宋体" w:cs="Arial"/>
          <w:kern w:val="0"/>
          <w:sz w:val="24"/>
        </w:rPr>
        <w:t>2005号民生金融大厦13楼13A</w:t>
      </w:r>
    </w:p>
    <w:p w14:paraId="3FFB1E6F" w14:textId="77777777" w:rsidR="00553A42" w:rsidRDefault="00827B77">
      <w:pPr>
        <w:autoSpaceDE w:val="0"/>
        <w:autoSpaceDN w:val="0"/>
        <w:adjustRightInd w:val="0"/>
        <w:spacing w:line="360" w:lineRule="auto"/>
        <w:ind w:firstLineChars="200" w:firstLine="480"/>
        <w:rPr>
          <w:rFonts w:ascii="宋体" w:hAnsi="宋体" w:cs="Arial"/>
          <w:kern w:val="0"/>
          <w:sz w:val="24"/>
        </w:rPr>
      </w:pPr>
      <w:r>
        <w:rPr>
          <w:rFonts w:ascii="宋体" w:hAnsi="宋体" w:cs="Arial" w:hint="eastAsia"/>
          <w:kern w:val="0"/>
          <w:sz w:val="24"/>
        </w:rPr>
        <w:t>办公地址：深圳市福田区莲花街道福中三路</w:t>
      </w:r>
      <w:r>
        <w:rPr>
          <w:rFonts w:ascii="宋体" w:hAnsi="宋体" w:cs="Arial"/>
          <w:kern w:val="0"/>
          <w:sz w:val="24"/>
        </w:rPr>
        <w:t>2005号民生金融大厦13楼13A</w:t>
      </w:r>
    </w:p>
    <w:p w14:paraId="1FCB6F5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邮政编码：</w:t>
      </w:r>
      <w:r>
        <w:rPr>
          <w:rFonts w:ascii="宋体" w:hAnsi="宋体" w:cs="Arial"/>
          <w:kern w:val="0"/>
          <w:sz w:val="24"/>
        </w:rPr>
        <w:t>5180</w:t>
      </w:r>
      <w:r>
        <w:rPr>
          <w:rFonts w:ascii="宋体" w:hAnsi="宋体" w:cs="Arial" w:hint="eastAsia"/>
          <w:kern w:val="0"/>
          <w:sz w:val="24"/>
        </w:rPr>
        <w:t>38</w:t>
      </w:r>
    </w:p>
    <w:p w14:paraId="5A7BA02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法定代表人：张焕南</w:t>
      </w:r>
    </w:p>
    <w:p w14:paraId="53BC6E9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成立日期：2008年11月3日</w:t>
      </w:r>
    </w:p>
    <w:p w14:paraId="7EEC1A1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批准设立机关及批准设立文号：中国证监会证监许可[2008]1187号</w:t>
      </w:r>
    </w:p>
    <w:p w14:paraId="42B269E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组织形式：有限责任公司（中外合资）</w:t>
      </w:r>
    </w:p>
    <w:p w14:paraId="5196AD7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注册资本：叁亿元</w:t>
      </w:r>
    </w:p>
    <w:p w14:paraId="1C8AB96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存续期间：永续经营</w:t>
      </w:r>
    </w:p>
    <w:p w14:paraId="10F77D36"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经营范围：基金募集、基金销售、资产管理和中国证监会许可的其他业务</w:t>
      </w:r>
    </w:p>
    <w:p w14:paraId="018B3D77"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（二）基金托管人</w:t>
      </w:r>
    </w:p>
    <w:p w14:paraId="02D5A9AE" w14:textId="77777777" w:rsidR="006626DF" w:rsidRPr="006626DF" w:rsidRDefault="006626DF" w:rsidP="006626DF">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名称：中国建设银行股份有限公司(简称：中国建设银行)</w:t>
      </w:r>
    </w:p>
    <w:p w14:paraId="59DB204C" w14:textId="77777777" w:rsidR="006626DF" w:rsidRPr="006626DF" w:rsidRDefault="006626DF" w:rsidP="006626DF">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住所：北京市西城区金融大街25号</w:t>
      </w:r>
    </w:p>
    <w:p w14:paraId="4672E445" w14:textId="77777777" w:rsidR="006626DF" w:rsidRPr="006626DF" w:rsidRDefault="006626DF" w:rsidP="006626DF">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办公地址：北京市西城区闹市口大街1号院1号楼</w:t>
      </w:r>
    </w:p>
    <w:p w14:paraId="40AC01AF" w14:textId="77777777" w:rsidR="006626DF" w:rsidRPr="006626DF" w:rsidRDefault="006626DF" w:rsidP="006626DF">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邮政编码：100033</w:t>
      </w:r>
    </w:p>
    <w:p w14:paraId="21C96F84" w14:textId="77777777" w:rsidR="006626DF" w:rsidRPr="006626DF" w:rsidRDefault="006626DF" w:rsidP="006626DF">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法定代表人：田国立</w:t>
      </w:r>
    </w:p>
    <w:p w14:paraId="47C7E5BB" w14:textId="77777777" w:rsidR="006626DF" w:rsidRPr="006626DF" w:rsidRDefault="006626DF" w:rsidP="006626DF">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成立日期：2004年09月17日</w:t>
      </w:r>
    </w:p>
    <w:p w14:paraId="5AC51B69" w14:textId="77777777" w:rsidR="006626DF" w:rsidRPr="006626DF" w:rsidRDefault="006626DF" w:rsidP="006626DF">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基金托管业务批准文号：中国证监会证监基字[1998]12号</w:t>
      </w:r>
    </w:p>
    <w:p w14:paraId="56B97B3C" w14:textId="77777777" w:rsidR="006626DF" w:rsidRPr="006626DF" w:rsidRDefault="006626DF" w:rsidP="006626DF">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组织形式：股份有限公司</w:t>
      </w:r>
    </w:p>
    <w:p w14:paraId="24B9A2D0" w14:textId="77777777" w:rsidR="006626DF" w:rsidRPr="006626DF" w:rsidRDefault="006626DF" w:rsidP="006626DF">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注册资本：贰仟伍佰亿壹仟零玖拾柒万柒仟肆佰捌拾陆元整</w:t>
      </w:r>
    </w:p>
    <w:p w14:paraId="00A7BC44" w14:textId="77777777" w:rsidR="006626DF" w:rsidRPr="006626DF" w:rsidRDefault="006626DF" w:rsidP="006626DF">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存续期间：持续经营</w:t>
      </w:r>
    </w:p>
    <w:p w14:paraId="2BA5B349" w14:textId="74019439" w:rsidR="003713B8" w:rsidRDefault="006626DF" w:rsidP="003713B8">
      <w:pPr>
        <w:widowControl/>
        <w:adjustRightInd w:val="0"/>
        <w:snapToGrid w:val="0"/>
        <w:spacing w:line="360" w:lineRule="auto"/>
        <w:ind w:firstLineChars="200" w:firstLine="480"/>
        <w:rPr>
          <w:rFonts w:ascii="宋体" w:hAnsi="宋体" w:cs="Arial"/>
          <w:kern w:val="0"/>
          <w:sz w:val="24"/>
        </w:rPr>
      </w:pPr>
      <w:r w:rsidRPr="006626DF">
        <w:rPr>
          <w:rFonts w:ascii="宋体" w:hAnsi="宋体" w:cs="Arial"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26F7CA1" w14:textId="77777777" w:rsidR="003713B8" w:rsidRDefault="003713B8">
      <w:pPr>
        <w:widowControl/>
        <w:jc w:val="left"/>
        <w:rPr>
          <w:rFonts w:ascii="宋体" w:hAnsi="宋体" w:cs="Arial"/>
          <w:kern w:val="0"/>
          <w:sz w:val="24"/>
        </w:rPr>
      </w:pPr>
      <w:r>
        <w:rPr>
          <w:rFonts w:ascii="宋体" w:hAnsi="宋体" w:cs="Arial"/>
          <w:kern w:val="0"/>
          <w:sz w:val="24"/>
        </w:rPr>
        <w:lastRenderedPageBreak/>
        <w:br w:type="page"/>
      </w:r>
    </w:p>
    <w:p w14:paraId="2EDA99FC" w14:textId="77777777" w:rsidR="00553A42" w:rsidRPr="003713B8" w:rsidRDefault="00553A42" w:rsidP="003713B8">
      <w:pPr>
        <w:widowControl/>
        <w:adjustRightInd w:val="0"/>
        <w:snapToGrid w:val="0"/>
        <w:spacing w:line="360" w:lineRule="auto"/>
        <w:ind w:firstLineChars="200" w:firstLine="480"/>
        <w:rPr>
          <w:rFonts w:ascii="宋体" w:hAnsi="宋体" w:cs="Arial"/>
          <w:kern w:val="0"/>
          <w:sz w:val="24"/>
        </w:rPr>
      </w:pPr>
    </w:p>
    <w:p w14:paraId="0EDBB770" w14:textId="77777777" w:rsidR="00553A42" w:rsidRPr="00333CA1" w:rsidRDefault="00827B77">
      <w:pPr>
        <w:pStyle w:val="2"/>
        <w:jc w:val="center"/>
        <w:rPr>
          <w:rFonts w:asciiTheme="majorEastAsia" w:eastAsiaTheme="majorEastAsia" w:hAnsiTheme="majorEastAsia"/>
          <w:sz w:val="30"/>
        </w:rPr>
      </w:pPr>
      <w:bookmarkStart w:id="6" w:name="_Toc62934247"/>
      <w:r w:rsidRPr="00333CA1">
        <w:rPr>
          <w:rFonts w:asciiTheme="majorEastAsia" w:eastAsiaTheme="majorEastAsia" w:hAnsiTheme="majorEastAsia" w:hint="eastAsia"/>
          <w:sz w:val="30"/>
        </w:rPr>
        <w:t>二、基金托管协议的依据、目的和原则</w:t>
      </w:r>
      <w:bookmarkEnd w:id="6"/>
    </w:p>
    <w:p w14:paraId="1E18F4D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（一）订立托管协议的依据</w:t>
      </w:r>
    </w:p>
    <w:p w14:paraId="3E75BBF0"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本协议依据《中华人民共和国证券投资基金法》(以下简称“《基金法》”)等有关法律法规、《基金合同》及其他有关规定制订。</w:t>
      </w:r>
    </w:p>
    <w:p w14:paraId="45B7CC3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（二）订立托管协议的目的</w:t>
      </w:r>
    </w:p>
    <w:p w14:paraId="3723292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AEDE98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（三）订立托管协议的原则</w:t>
      </w:r>
    </w:p>
    <w:p w14:paraId="742584C9" w14:textId="77777777" w:rsidR="00553A42" w:rsidRDefault="00827B77">
      <w:pPr>
        <w:widowControl/>
        <w:adjustRightInd w:val="0"/>
        <w:snapToGrid w:val="0"/>
        <w:spacing w:line="360" w:lineRule="auto"/>
        <w:ind w:firstLineChars="200" w:firstLine="480"/>
        <w:rPr>
          <w:rFonts w:ascii="彩虹粗仿宋" w:eastAsia="彩虹粗仿宋" w:hAnsi="宋体" w:cs="Arial"/>
          <w:sz w:val="24"/>
        </w:rPr>
      </w:pPr>
      <w:r>
        <w:rPr>
          <w:rFonts w:ascii="宋体" w:hAnsi="宋体" w:cs="Arial" w:hint="eastAsia"/>
          <w:kern w:val="0"/>
          <w:sz w:val="24"/>
        </w:rPr>
        <w:t>基金管理人和基金托管人本着平等自愿、诚实信用、充分保护基金份额持有人合法权益的原则，经协商一致，签订本协议。</w:t>
      </w:r>
    </w:p>
    <w:p w14:paraId="0B55A24A" w14:textId="77777777" w:rsidR="003713B8" w:rsidRDefault="003713B8" w:rsidP="00116252">
      <w:pPr>
        <w:widowControl/>
        <w:spacing w:line="360" w:lineRule="auto"/>
        <w:jc w:val="left"/>
        <w:rPr>
          <w:rFonts w:ascii="彩虹粗仿宋" w:eastAsia="彩虹粗仿宋"/>
          <w:sz w:val="24"/>
        </w:rPr>
      </w:pPr>
      <w:r>
        <w:rPr>
          <w:rFonts w:ascii="彩虹粗仿宋" w:eastAsia="彩虹粗仿宋"/>
          <w:sz w:val="24"/>
        </w:rPr>
        <w:br w:type="page"/>
      </w:r>
    </w:p>
    <w:p w14:paraId="0B2DC429" w14:textId="77777777" w:rsidR="00553A42" w:rsidRDefault="00553A42">
      <w:pPr>
        <w:rPr>
          <w:rFonts w:ascii="彩虹粗仿宋" w:eastAsia="彩虹粗仿宋"/>
          <w:sz w:val="24"/>
        </w:rPr>
      </w:pPr>
    </w:p>
    <w:p w14:paraId="7A319DB6" w14:textId="77777777" w:rsidR="00553A42" w:rsidRPr="00333CA1" w:rsidRDefault="00827B77">
      <w:pPr>
        <w:pStyle w:val="2"/>
        <w:jc w:val="center"/>
        <w:rPr>
          <w:rFonts w:asciiTheme="minorEastAsia" w:eastAsiaTheme="minorEastAsia" w:hAnsiTheme="minorEastAsia"/>
          <w:sz w:val="30"/>
          <w:szCs w:val="24"/>
        </w:rPr>
      </w:pPr>
      <w:bookmarkStart w:id="7" w:name="_Toc62934248"/>
      <w:r w:rsidRPr="00333CA1">
        <w:rPr>
          <w:rFonts w:asciiTheme="minorEastAsia" w:eastAsiaTheme="minorEastAsia" w:hAnsiTheme="minorEastAsia" w:hint="eastAsia"/>
          <w:sz w:val="30"/>
        </w:rPr>
        <w:t>三、基金托管人对基金管理人的业务监督和核查</w:t>
      </w:r>
      <w:bookmarkEnd w:id="7"/>
    </w:p>
    <w:p w14:paraId="5C7C55F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8FBA2F4" w14:textId="77777777" w:rsidR="00553A42" w:rsidRDefault="00827B77">
      <w:pPr>
        <w:spacing w:line="360" w:lineRule="auto"/>
        <w:ind w:firstLineChars="200" w:firstLine="480"/>
        <w:rPr>
          <w:bCs/>
          <w:sz w:val="24"/>
        </w:rPr>
      </w:pPr>
      <w:r>
        <w:rPr>
          <w:rFonts w:hint="eastAsia"/>
          <w:bCs/>
          <w:sz w:val="24"/>
        </w:rPr>
        <w:t>本基金的投资范围为具有良好流动性的金融工具，包括国内依法发行上市的衍生工具（权证、股指期货及其他经中国证监会允许投资的衍生工具等），股票（含中小板、创业板及其他经中国证监会允许投资的股票等），债券（含国债、金融债、企业债、公司债、地方政府债、次级债、可转换债券、分离交易可转债、央行票据、中期票据、短期融资券（含超短期融资券）、中小企业私募债券及其他经中国证监会允许投资的债券等）、资产支持证券、债券回购、质押及买断式回购、银行存款等固定收益类资产以及现金，以及法律法规或中国证监会允许基金投资的其他金融工具（但须符合中国证监会的相关规定）。</w:t>
      </w:r>
    </w:p>
    <w:p w14:paraId="58A72E86" w14:textId="77777777" w:rsidR="00553A42" w:rsidRDefault="00827B77">
      <w:pPr>
        <w:spacing w:line="360" w:lineRule="auto"/>
        <w:ind w:firstLine="480"/>
        <w:rPr>
          <w:bCs/>
          <w:sz w:val="24"/>
        </w:rPr>
      </w:pPr>
      <w:r>
        <w:rPr>
          <w:rFonts w:hint="eastAsia"/>
          <w:bCs/>
          <w:sz w:val="24"/>
        </w:rPr>
        <w:t>基金的投资组合比例为：本基金的股票资产投资比例为</w:t>
      </w:r>
      <w:r>
        <w:rPr>
          <w:rFonts w:hint="eastAsia"/>
          <w:bCs/>
          <w:sz w:val="24"/>
        </w:rPr>
        <w:t>0%--95%</w:t>
      </w:r>
      <w:r>
        <w:rPr>
          <w:rFonts w:hint="eastAsia"/>
          <w:bCs/>
          <w:sz w:val="24"/>
        </w:rPr>
        <w:t>。每个交易日日终在扣除股指期货合约等金融工具所需缴纳的交易保证金后，现金或到期日在一年以内的政府债券不低于基金资产净值的</w:t>
      </w:r>
      <w:r>
        <w:rPr>
          <w:rFonts w:hint="eastAsia"/>
          <w:bCs/>
          <w:sz w:val="24"/>
        </w:rPr>
        <w:t>5%</w:t>
      </w:r>
      <w:r>
        <w:rPr>
          <w:rFonts w:hint="eastAsia"/>
          <w:bCs/>
          <w:sz w:val="24"/>
        </w:rPr>
        <w:t>，前述现金资产不包括结算备付金、存出保证金、应收申购款等。</w:t>
      </w:r>
    </w:p>
    <w:p w14:paraId="20B0BA40" w14:textId="77777777" w:rsidR="00553A42" w:rsidRDefault="00827B77">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36E5EE7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（二）基金托管人根据有关法律法规的规定及《基金合同》的约定，对基金投资、融资比例进行监督。基金托管人按下述比例和调整期限进行监督：</w:t>
      </w:r>
    </w:p>
    <w:p w14:paraId="482543F5" w14:textId="3819D5E5"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sidR="007C36C6" w:rsidRPr="007C36C6">
        <w:rPr>
          <w:rFonts w:ascii="宋体" w:hAnsi="宋体" w:cs="Arial" w:hint="eastAsia"/>
          <w:kern w:val="0"/>
          <w:sz w:val="24"/>
        </w:rPr>
        <w:t>本基金持有股票资产占基金资产的0%-95%；</w:t>
      </w:r>
    </w:p>
    <w:p w14:paraId="58ACE452" w14:textId="624D6D95"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w:t>
      </w:r>
      <w:r w:rsidR="007C36C6" w:rsidRPr="007C36C6">
        <w:rPr>
          <w:rFonts w:ascii="宋体" w:hAnsi="宋体" w:cs="Arial" w:hint="eastAsia"/>
          <w:kern w:val="0"/>
          <w:sz w:val="24"/>
        </w:rPr>
        <w:t>本基金每个交易日日终在扣除股指期货合约等金融工具所需缴纳的交易保证金后，应当保持不低于基金资产净值5%的现金或到期日在一年以内的政府债券，前述现金资产不包括结算备付金、存出保证金、应收申购款等；</w:t>
      </w:r>
    </w:p>
    <w:p w14:paraId="7BC00137" w14:textId="25DE91BD"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w:t>
      </w:r>
      <w:r w:rsidR="007C36C6" w:rsidRPr="007C36C6">
        <w:rPr>
          <w:rFonts w:ascii="宋体" w:hAnsi="宋体" w:cs="Arial" w:hint="eastAsia"/>
          <w:kern w:val="0"/>
          <w:sz w:val="24"/>
        </w:rPr>
        <w:t>本基金持有一家公司发行的证券，其市值不超过基金资产净值的10％；</w:t>
      </w:r>
    </w:p>
    <w:p w14:paraId="0FFB9C9C" w14:textId="489DDB28"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4、</w:t>
      </w:r>
      <w:r w:rsidR="007C36C6" w:rsidRPr="007C36C6">
        <w:rPr>
          <w:rFonts w:ascii="宋体" w:hAnsi="宋体" w:cs="Arial" w:hint="eastAsia"/>
          <w:kern w:val="0"/>
          <w:sz w:val="24"/>
        </w:rPr>
        <w:t>本基金管理人管理</w:t>
      </w:r>
      <w:r w:rsidR="00B3595C" w:rsidRPr="00B3595C">
        <w:rPr>
          <w:rFonts w:ascii="宋体" w:hAnsi="宋体" w:cs="Arial" w:hint="eastAsia"/>
          <w:kern w:val="0"/>
          <w:sz w:val="24"/>
        </w:rPr>
        <w:t>且由本基金托管人托管</w:t>
      </w:r>
      <w:r w:rsidR="007C36C6" w:rsidRPr="007C36C6">
        <w:rPr>
          <w:rFonts w:ascii="宋体" w:hAnsi="宋体" w:cs="Arial" w:hint="eastAsia"/>
          <w:kern w:val="0"/>
          <w:sz w:val="24"/>
        </w:rPr>
        <w:t>的全部基金持有一家公司发行的证券，不超过该证券的10％；本基金管理人管理</w:t>
      </w:r>
      <w:r w:rsidR="00B3595C" w:rsidRPr="00B3595C">
        <w:rPr>
          <w:rFonts w:ascii="宋体" w:hAnsi="宋体" w:cs="Arial" w:hint="eastAsia"/>
          <w:kern w:val="0"/>
          <w:sz w:val="24"/>
        </w:rPr>
        <w:t>且由本基金托管人托管</w:t>
      </w:r>
      <w:r w:rsidR="007C36C6" w:rsidRPr="007C36C6">
        <w:rPr>
          <w:rFonts w:ascii="宋体" w:hAnsi="宋体" w:cs="Arial" w:hint="eastAsia"/>
          <w:kern w:val="0"/>
          <w:sz w:val="24"/>
        </w:rPr>
        <w:t>的全部开放式基金（包括开放式基金以及处于开放期的定期开放基金）持有一家上市公司发行的可流通股票，不得超过该上市公司可流通股票的15%；本基金管理人管理</w:t>
      </w:r>
      <w:r w:rsidR="00845B8C" w:rsidRPr="00845B8C">
        <w:rPr>
          <w:rFonts w:ascii="宋体" w:hAnsi="宋体" w:cs="Arial" w:hint="eastAsia"/>
          <w:kern w:val="0"/>
          <w:sz w:val="24"/>
        </w:rPr>
        <w:t>且由本基金托管人托管</w:t>
      </w:r>
      <w:r w:rsidR="007C36C6" w:rsidRPr="007C36C6">
        <w:rPr>
          <w:rFonts w:ascii="宋体" w:hAnsi="宋体" w:cs="Arial" w:hint="eastAsia"/>
          <w:kern w:val="0"/>
          <w:sz w:val="24"/>
        </w:rPr>
        <w:t>的全部投资组合持有一家上市公司发行的可流通股票，不得超过该上市公司可流通股票的30%；</w:t>
      </w:r>
    </w:p>
    <w:p w14:paraId="42B3C970" w14:textId="127CC84C"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5、</w:t>
      </w:r>
      <w:r w:rsidR="007C36C6" w:rsidRPr="007C36C6">
        <w:rPr>
          <w:rFonts w:ascii="宋体" w:hAnsi="宋体" w:cs="Arial" w:hint="eastAsia"/>
          <w:kern w:val="0"/>
          <w:sz w:val="24"/>
        </w:rPr>
        <w:t>本基金持有的全部权证，其市值不得超过基金资产净值的3％；</w:t>
      </w:r>
    </w:p>
    <w:p w14:paraId="0643B372" w14:textId="521935A5"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6、</w:t>
      </w:r>
      <w:r w:rsidR="007C36C6" w:rsidRPr="007C36C6">
        <w:rPr>
          <w:rFonts w:ascii="宋体" w:hAnsi="宋体" w:cs="Arial" w:hint="eastAsia"/>
          <w:kern w:val="0"/>
          <w:sz w:val="24"/>
        </w:rPr>
        <w:t>本基金管理人管理</w:t>
      </w:r>
      <w:r w:rsidR="00B3595C" w:rsidRPr="00B3595C">
        <w:rPr>
          <w:rFonts w:ascii="宋体" w:hAnsi="宋体" w:cs="Arial" w:hint="eastAsia"/>
          <w:kern w:val="0"/>
          <w:sz w:val="24"/>
        </w:rPr>
        <w:t>且由本基金托管人托管</w:t>
      </w:r>
      <w:r w:rsidR="007C36C6" w:rsidRPr="007C36C6">
        <w:rPr>
          <w:rFonts w:ascii="宋体" w:hAnsi="宋体" w:cs="Arial" w:hint="eastAsia"/>
          <w:kern w:val="0"/>
          <w:sz w:val="24"/>
        </w:rPr>
        <w:t>的全部基金持有的同一权证，不得超过该权证的   10％；</w:t>
      </w:r>
    </w:p>
    <w:p w14:paraId="6E47C326" w14:textId="406122C9"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7、</w:t>
      </w:r>
      <w:r w:rsidR="007C36C6" w:rsidRPr="007C36C6">
        <w:rPr>
          <w:rFonts w:ascii="宋体" w:hAnsi="宋体" w:cs="Arial" w:hint="eastAsia"/>
          <w:kern w:val="0"/>
          <w:sz w:val="24"/>
        </w:rPr>
        <w:t>本基金在任何交易日买入权证的总金额，不得超过上一交易日基金资产净值的0.5％；</w:t>
      </w:r>
    </w:p>
    <w:p w14:paraId="5216857C" w14:textId="54B57D40"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8、</w:t>
      </w:r>
      <w:r w:rsidR="007C36C6" w:rsidRPr="007C36C6">
        <w:rPr>
          <w:rFonts w:ascii="宋体" w:hAnsi="宋体" w:cs="Arial" w:hint="eastAsia"/>
          <w:kern w:val="0"/>
          <w:sz w:val="24"/>
        </w:rPr>
        <w:t>本基金投资于同一原始权益人的各类资产支持证券的比例，不得超过基金资产净值的10％；</w:t>
      </w:r>
    </w:p>
    <w:p w14:paraId="450BC97A" w14:textId="41189831"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9、</w:t>
      </w:r>
      <w:r w:rsidR="007C36C6" w:rsidRPr="007C36C6">
        <w:rPr>
          <w:rFonts w:ascii="宋体" w:hAnsi="宋体" w:cs="Arial" w:hint="eastAsia"/>
          <w:kern w:val="0"/>
          <w:sz w:val="24"/>
        </w:rPr>
        <w:t>本基金持有的全部资产支持证券，其市值不得超过基金资产净值的20％；</w:t>
      </w:r>
    </w:p>
    <w:p w14:paraId="703D2895" w14:textId="00EBA67D"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Pr>
          <w:rFonts w:ascii="宋体" w:hAnsi="宋体" w:cs="Arial"/>
          <w:kern w:val="0"/>
          <w:sz w:val="24"/>
        </w:rPr>
        <w:t>0</w:t>
      </w:r>
      <w:r>
        <w:rPr>
          <w:rFonts w:ascii="宋体" w:hAnsi="宋体" w:cs="Arial" w:hint="eastAsia"/>
          <w:kern w:val="0"/>
          <w:sz w:val="24"/>
        </w:rPr>
        <w:t>、</w:t>
      </w:r>
      <w:r w:rsidR="007C36C6" w:rsidRPr="007C36C6">
        <w:rPr>
          <w:rFonts w:ascii="宋体" w:hAnsi="宋体" w:cs="Arial" w:hint="eastAsia"/>
          <w:kern w:val="0"/>
          <w:sz w:val="24"/>
        </w:rPr>
        <w:t>本基金持有的同一(指同一信用级别)资产支持证券的比例，不得超过该资产支持证券规模的10％；</w:t>
      </w:r>
    </w:p>
    <w:p w14:paraId="754ABF1B" w14:textId="20CC4493"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Pr>
          <w:rFonts w:ascii="宋体" w:hAnsi="宋体" w:cs="Arial"/>
          <w:kern w:val="0"/>
          <w:sz w:val="24"/>
        </w:rPr>
        <w:t>1</w:t>
      </w:r>
      <w:r>
        <w:rPr>
          <w:rFonts w:ascii="宋体" w:hAnsi="宋体" w:cs="Arial" w:hint="eastAsia"/>
          <w:kern w:val="0"/>
          <w:sz w:val="24"/>
        </w:rPr>
        <w:t>、</w:t>
      </w:r>
      <w:r w:rsidR="007C36C6" w:rsidRPr="007C36C6">
        <w:rPr>
          <w:rFonts w:ascii="宋体" w:hAnsi="宋体" w:cs="Arial" w:hint="eastAsia"/>
          <w:kern w:val="0"/>
          <w:sz w:val="24"/>
        </w:rPr>
        <w:t>本基金管理人管理</w:t>
      </w:r>
      <w:r w:rsidR="00B3595C" w:rsidRPr="00B3595C">
        <w:rPr>
          <w:rFonts w:ascii="宋体" w:hAnsi="宋体" w:cs="Arial" w:hint="eastAsia"/>
          <w:kern w:val="0"/>
          <w:sz w:val="24"/>
        </w:rPr>
        <w:t>且由本基金托管人托管</w:t>
      </w:r>
      <w:r w:rsidR="007C36C6" w:rsidRPr="007C36C6">
        <w:rPr>
          <w:rFonts w:ascii="宋体" w:hAnsi="宋体" w:cs="Arial" w:hint="eastAsia"/>
          <w:kern w:val="0"/>
          <w:sz w:val="24"/>
        </w:rPr>
        <w:t>的全部基金投资于同一原始权益人的各类资产支持证券，不得超过其各类资产支持证券合计规模的10％；</w:t>
      </w:r>
    </w:p>
    <w:p w14:paraId="4F926D10" w14:textId="201FDCD2"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Pr>
          <w:rFonts w:ascii="宋体" w:hAnsi="宋体" w:cs="Arial"/>
          <w:kern w:val="0"/>
          <w:sz w:val="24"/>
        </w:rPr>
        <w:t>2</w:t>
      </w:r>
      <w:r>
        <w:rPr>
          <w:rFonts w:ascii="宋体" w:hAnsi="宋体" w:cs="Arial" w:hint="eastAsia"/>
          <w:kern w:val="0"/>
          <w:sz w:val="24"/>
        </w:rPr>
        <w:t>、</w:t>
      </w:r>
      <w:r w:rsidR="007C36C6" w:rsidRPr="007C36C6">
        <w:rPr>
          <w:rFonts w:ascii="宋体" w:hAnsi="宋体" w:cs="Arial" w:hint="eastAsia"/>
          <w:kern w:val="0"/>
          <w:sz w:val="24"/>
        </w:rPr>
        <w:t>本基金应投资于信用级别评级为BBB以上(含BBB)的资产支持证券。基金持有资产支持证券期间，如果其信用等级下降、不再符合投资标准，应在评级报告发布之日起3个月内予以全部卖出；</w:t>
      </w:r>
    </w:p>
    <w:p w14:paraId="3F6EDB33" w14:textId="0586D3CB"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Pr>
          <w:rFonts w:ascii="宋体" w:hAnsi="宋体" w:cs="Arial"/>
          <w:kern w:val="0"/>
          <w:sz w:val="24"/>
        </w:rPr>
        <w:t>3</w:t>
      </w:r>
      <w:r>
        <w:rPr>
          <w:rFonts w:ascii="宋体" w:hAnsi="宋体" w:cs="Arial" w:hint="eastAsia"/>
          <w:kern w:val="0"/>
          <w:sz w:val="24"/>
        </w:rPr>
        <w:t>、</w:t>
      </w:r>
      <w:r w:rsidR="007C36C6" w:rsidRPr="007C36C6">
        <w:rPr>
          <w:rFonts w:ascii="宋体" w:hAnsi="宋体" w:cs="Arial" w:hint="eastAsia"/>
          <w:kern w:val="0"/>
          <w:sz w:val="24"/>
        </w:rPr>
        <w:t>基金财产参与股票发行申购，本基金所申报的金额不超过本基金的总资产，本基金所申报的股票数量不超过拟发行股票公司本次发行股票的总量；</w:t>
      </w:r>
    </w:p>
    <w:p w14:paraId="1ADC0BF2" w14:textId="77B6133F" w:rsidR="007C36C6" w:rsidRPr="007C36C6" w:rsidRDefault="001C5DA7" w:rsidP="007C36C6">
      <w:pPr>
        <w:widowControl/>
        <w:adjustRightInd w:val="0"/>
        <w:snapToGrid w:val="0"/>
        <w:spacing w:line="360" w:lineRule="auto"/>
        <w:ind w:firstLineChars="200" w:firstLine="480"/>
        <w:rPr>
          <w:rFonts w:ascii="宋体" w:hAnsi="宋体" w:cs="Arial"/>
          <w:kern w:val="0"/>
          <w:sz w:val="24"/>
        </w:rPr>
      </w:pPr>
      <w:r>
        <w:rPr>
          <w:rFonts w:ascii="宋体" w:hAnsi="宋体" w:cs="Arial"/>
          <w:kern w:val="0"/>
          <w:sz w:val="24"/>
        </w:rPr>
        <w:t>14</w:t>
      </w:r>
      <w:r>
        <w:rPr>
          <w:rFonts w:ascii="宋体" w:hAnsi="宋体" w:cs="Arial" w:hint="eastAsia"/>
          <w:kern w:val="0"/>
          <w:sz w:val="24"/>
        </w:rPr>
        <w:t>、</w:t>
      </w:r>
      <w:r w:rsidR="007C36C6" w:rsidRPr="007C36C6">
        <w:rPr>
          <w:rFonts w:ascii="宋体" w:hAnsi="宋体" w:cs="Arial" w:hint="eastAsia"/>
          <w:kern w:val="0"/>
          <w:sz w:val="24"/>
        </w:rPr>
        <w:t>本基金进入全国银行间同业市场进行债券回购的资金余额不得超过基金资产净值的40%；债券回购最长期限为1年，债券回购到期后不得展期；</w:t>
      </w:r>
    </w:p>
    <w:p w14:paraId="06C30348" w14:textId="5753A1C3" w:rsidR="007C36C6" w:rsidRPr="007C36C6" w:rsidRDefault="007C36C6" w:rsidP="007C36C6">
      <w:pPr>
        <w:widowControl/>
        <w:adjustRightInd w:val="0"/>
        <w:snapToGrid w:val="0"/>
        <w:spacing w:line="360" w:lineRule="auto"/>
        <w:ind w:firstLineChars="200" w:firstLine="480"/>
        <w:rPr>
          <w:rFonts w:ascii="宋体" w:hAnsi="宋体" w:cs="Arial"/>
          <w:kern w:val="0"/>
          <w:sz w:val="24"/>
        </w:rPr>
      </w:pPr>
      <w:r w:rsidRPr="007C36C6">
        <w:rPr>
          <w:rFonts w:ascii="宋体" w:hAnsi="宋体" w:cs="Arial" w:hint="eastAsia"/>
          <w:kern w:val="0"/>
          <w:sz w:val="24"/>
        </w:rPr>
        <w:t>15</w:t>
      </w:r>
      <w:r w:rsidR="00CE1C3D">
        <w:rPr>
          <w:rFonts w:ascii="宋体" w:hAnsi="宋体" w:cs="Arial" w:hint="eastAsia"/>
          <w:kern w:val="0"/>
          <w:sz w:val="24"/>
        </w:rPr>
        <w:t>、</w:t>
      </w:r>
      <w:r w:rsidRPr="007C36C6">
        <w:rPr>
          <w:rFonts w:ascii="宋体" w:hAnsi="宋体" w:cs="Arial" w:hint="eastAsia"/>
          <w:kern w:val="0"/>
          <w:sz w:val="24"/>
        </w:rPr>
        <w:t>本基金持有单只中小企业私募债券，其市值不得超过本基金资产净值的10%；</w:t>
      </w:r>
    </w:p>
    <w:p w14:paraId="026195C3" w14:textId="261D6790" w:rsidR="007C36C6" w:rsidRPr="007C36C6" w:rsidRDefault="00CE1C3D"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Pr>
          <w:rFonts w:ascii="宋体" w:hAnsi="宋体" w:cs="Arial"/>
          <w:kern w:val="0"/>
          <w:sz w:val="24"/>
        </w:rPr>
        <w:t>6</w:t>
      </w:r>
      <w:r>
        <w:rPr>
          <w:rFonts w:ascii="宋体" w:hAnsi="宋体" w:cs="Arial" w:hint="eastAsia"/>
          <w:kern w:val="0"/>
          <w:sz w:val="24"/>
        </w:rPr>
        <w:t>、</w:t>
      </w:r>
      <w:r w:rsidR="007C36C6" w:rsidRPr="007C36C6">
        <w:rPr>
          <w:rFonts w:ascii="宋体" w:hAnsi="宋体" w:cs="Arial" w:hint="eastAsia"/>
          <w:kern w:val="0"/>
          <w:sz w:val="24"/>
        </w:rPr>
        <w:t>本基金的总资产不得超过基金净资产的140%；</w:t>
      </w:r>
    </w:p>
    <w:p w14:paraId="74BAFA95" w14:textId="3B3F4762" w:rsidR="007C36C6" w:rsidRPr="007C36C6" w:rsidRDefault="00CE1C3D"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Pr>
          <w:rFonts w:ascii="宋体" w:hAnsi="宋体" w:cs="Arial"/>
          <w:kern w:val="0"/>
          <w:sz w:val="24"/>
        </w:rPr>
        <w:t>7</w:t>
      </w:r>
      <w:r>
        <w:rPr>
          <w:rFonts w:ascii="宋体" w:hAnsi="宋体" w:cs="Arial" w:hint="eastAsia"/>
          <w:kern w:val="0"/>
          <w:sz w:val="24"/>
        </w:rPr>
        <w:t>、</w:t>
      </w:r>
      <w:r w:rsidR="007C36C6" w:rsidRPr="007C36C6">
        <w:rPr>
          <w:rFonts w:ascii="宋体" w:hAnsi="宋体" w:cs="Arial" w:hint="eastAsia"/>
          <w:kern w:val="0"/>
          <w:sz w:val="24"/>
        </w:rPr>
        <w:t>本基金在任何交易日日终，持有的买入股指期货合约价值不得超过基金资产净值的10%；</w:t>
      </w:r>
    </w:p>
    <w:p w14:paraId="442C0E6E" w14:textId="5644FC98" w:rsidR="007C36C6" w:rsidRPr="007C36C6" w:rsidRDefault="00FB6420"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1</w:t>
      </w:r>
      <w:r>
        <w:rPr>
          <w:rFonts w:ascii="宋体" w:hAnsi="宋体" w:cs="Arial"/>
          <w:kern w:val="0"/>
          <w:sz w:val="24"/>
        </w:rPr>
        <w:t>8</w:t>
      </w:r>
      <w:r>
        <w:rPr>
          <w:rFonts w:ascii="宋体" w:hAnsi="宋体" w:cs="Arial" w:hint="eastAsia"/>
          <w:kern w:val="0"/>
          <w:sz w:val="24"/>
        </w:rPr>
        <w:t>、</w:t>
      </w:r>
      <w:r w:rsidR="007C36C6" w:rsidRPr="007C36C6">
        <w:rPr>
          <w:rFonts w:ascii="宋体" w:hAnsi="宋体" w:cs="Arial" w:hint="eastAsia"/>
          <w:kern w:val="0"/>
          <w:sz w:val="24"/>
        </w:rPr>
        <w:t>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69327CE2" w14:textId="3D204D9E" w:rsidR="007C36C6" w:rsidRPr="007C36C6" w:rsidRDefault="00FB5C76"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w:t>
      </w:r>
      <w:r>
        <w:rPr>
          <w:rFonts w:ascii="宋体" w:hAnsi="宋体" w:cs="Arial"/>
          <w:kern w:val="0"/>
          <w:sz w:val="24"/>
        </w:rPr>
        <w:t>9</w:t>
      </w:r>
      <w:r>
        <w:rPr>
          <w:rFonts w:ascii="宋体" w:hAnsi="宋体" w:cs="Arial" w:hint="eastAsia"/>
          <w:kern w:val="0"/>
          <w:sz w:val="24"/>
        </w:rPr>
        <w:t>、</w:t>
      </w:r>
      <w:r w:rsidR="007C36C6" w:rsidRPr="007C36C6">
        <w:rPr>
          <w:rFonts w:ascii="宋体" w:hAnsi="宋体" w:cs="Arial" w:hint="eastAsia"/>
          <w:kern w:val="0"/>
          <w:sz w:val="24"/>
        </w:rPr>
        <w:t>本基金在任何交易日日终，持有的卖出期货合约价值不得超过基金持</w:t>
      </w:r>
    </w:p>
    <w:p w14:paraId="50EDCBA8" w14:textId="77777777" w:rsidR="007C36C6" w:rsidRPr="007C36C6" w:rsidRDefault="007C36C6" w:rsidP="007C36C6">
      <w:pPr>
        <w:widowControl/>
        <w:adjustRightInd w:val="0"/>
        <w:snapToGrid w:val="0"/>
        <w:spacing w:line="360" w:lineRule="auto"/>
        <w:ind w:firstLineChars="200" w:firstLine="480"/>
        <w:rPr>
          <w:rFonts w:ascii="宋体" w:hAnsi="宋体" w:cs="Arial"/>
          <w:kern w:val="0"/>
          <w:sz w:val="24"/>
        </w:rPr>
      </w:pPr>
      <w:r w:rsidRPr="007C36C6">
        <w:rPr>
          <w:rFonts w:ascii="宋体" w:hAnsi="宋体" w:cs="Arial" w:hint="eastAsia"/>
          <w:kern w:val="0"/>
          <w:sz w:val="24"/>
        </w:rPr>
        <w:t>有的股票总市值的20%；</w:t>
      </w:r>
    </w:p>
    <w:p w14:paraId="4DAAD8E7" w14:textId="77777777" w:rsidR="007C36C6" w:rsidRPr="007C36C6" w:rsidRDefault="007C36C6" w:rsidP="007C36C6">
      <w:pPr>
        <w:widowControl/>
        <w:adjustRightInd w:val="0"/>
        <w:snapToGrid w:val="0"/>
        <w:spacing w:line="360" w:lineRule="auto"/>
        <w:ind w:firstLineChars="200" w:firstLine="480"/>
        <w:rPr>
          <w:rFonts w:ascii="宋体" w:hAnsi="宋体" w:cs="Arial"/>
          <w:kern w:val="0"/>
          <w:sz w:val="24"/>
        </w:rPr>
      </w:pPr>
      <w:r w:rsidRPr="007C36C6">
        <w:rPr>
          <w:rFonts w:ascii="宋体" w:hAnsi="宋体" w:cs="Arial" w:hint="eastAsia"/>
          <w:kern w:val="0"/>
          <w:sz w:val="24"/>
        </w:rPr>
        <w:t>本基金管理人应当按照中国金融期货交易所要求的内容、格式与时限向交易所报告所交易和持有的卖出期货合约情况、交易目的及对应的证券资产情况等；</w:t>
      </w:r>
    </w:p>
    <w:p w14:paraId="2E4FECD6" w14:textId="03CB8CD7" w:rsidR="007C36C6" w:rsidRPr="007C36C6" w:rsidRDefault="00FB5C76"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w:t>
      </w:r>
      <w:r>
        <w:rPr>
          <w:rFonts w:ascii="宋体" w:hAnsi="宋体" w:cs="Arial"/>
          <w:kern w:val="0"/>
          <w:sz w:val="24"/>
        </w:rPr>
        <w:t>0</w:t>
      </w:r>
      <w:r>
        <w:rPr>
          <w:rFonts w:ascii="宋体" w:hAnsi="宋体" w:cs="Arial" w:hint="eastAsia"/>
          <w:kern w:val="0"/>
          <w:sz w:val="24"/>
        </w:rPr>
        <w:t>、</w:t>
      </w:r>
      <w:r w:rsidR="007C36C6" w:rsidRPr="007C36C6">
        <w:rPr>
          <w:rFonts w:ascii="宋体" w:hAnsi="宋体" w:cs="Arial" w:hint="eastAsia"/>
          <w:kern w:val="0"/>
          <w:sz w:val="24"/>
        </w:rPr>
        <w:t>本基金所持有的股票市值和买入、卖出股指期货合约价值，合计（轧</w:t>
      </w:r>
    </w:p>
    <w:p w14:paraId="4B3D9C31" w14:textId="77777777" w:rsidR="007C36C6" w:rsidRPr="007C36C6" w:rsidRDefault="007C36C6" w:rsidP="007C36C6">
      <w:pPr>
        <w:widowControl/>
        <w:adjustRightInd w:val="0"/>
        <w:snapToGrid w:val="0"/>
        <w:spacing w:line="360" w:lineRule="auto"/>
        <w:ind w:firstLineChars="200" w:firstLine="480"/>
        <w:rPr>
          <w:rFonts w:ascii="宋体" w:hAnsi="宋体" w:cs="Arial"/>
          <w:kern w:val="0"/>
          <w:sz w:val="24"/>
        </w:rPr>
      </w:pPr>
      <w:r w:rsidRPr="007C36C6">
        <w:rPr>
          <w:rFonts w:ascii="宋体" w:hAnsi="宋体" w:cs="Arial" w:hint="eastAsia"/>
          <w:kern w:val="0"/>
          <w:sz w:val="24"/>
        </w:rPr>
        <w:t>差计算）应当符合基金合同关于股票投资比例的有关约定；</w:t>
      </w:r>
    </w:p>
    <w:p w14:paraId="159DE476" w14:textId="23468BA4" w:rsidR="007C36C6" w:rsidRPr="007C36C6" w:rsidRDefault="00FB5C76"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w:t>
      </w:r>
      <w:r>
        <w:rPr>
          <w:rFonts w:ascii="宋体" w:hAnsi="宋体" w:cs="Arial"/>
          <w:kern w:val="0"/>
          <w:sz w:val="24"/>
        </w:rPr>
        <w:t>1</w:t>
      </w:r>
      <w:r>
        <w:rPr>
          <w:rFonts w:ascii="宋体" w:hAnsi="宋体" w:cs="Arial" w:hint="eastAsia"/>
          <w:kern w:val="0"/>
          <w:sz w:val="24"/>
        </w:rPr>
        <w:t>、</w:t>
      </w:r>
      <w:r w:rsidR="007C36C6" w:rsidRPr="007C36C6">
        <w:rPr>
          <w:rFonts w:ascii="宋体" w:hAnsi="宋体" w:cs="Arial" w:hint="eastAsia"/>
          <w:kern w:val="0"/>
          <w:sz w:val="24"/>
        </w:rPr>
        <w:t>本基金在任何交易日内交易（不包括平仓）的股指期货合约的成交金</w:t>
      </w:r>
    </w:p>
    <w:p w14:paraId="6552427B" w14:textId="77777777" w:rsidR="007C36C6" w:rsidRPr="007C36C6" w:rsidRDefault="007C36C6" w:rsidP="007C36C6">
      <w:pPr>
        <w:widowControl/>
        <w:adjustRightInd w:val="0"/>
        <w:snapToGrid w:val="0"/>
        <w:spacing w:line="360" w:lineRule="auto"/>
        <w:ind w:firstLineChars="200" w:firstLine="480"/>
        <w:rPr>
          <w:rFonts w:ascii="宋体" w:hAnsi="宋体" w:cs="Arial"/>
          <w:kern w:val="0"/>
          <w:sz w:val="24"/>
        </w:rPr>
      </w:pPr>
      <w:r w:rsidRPr="007C36C6">
        <w:rPr>
          <w:rFonts w:ascii="宋体" w:hAnsi="宋体" w:cs="Arial" w:hint="eastAsia"/>
          <w:kern w:val="0"/>
          <w:sz w:val="24"/>
        </w:rPr>
        <w:t>额不得超过上一交易日基金资产净值的20%；</w:t>
      </w:r>
    </w:p>
    <w:p w14:paraId="1FCD4AB1" w14:textId="17D63782" w:rsidR="007C36C6" w:rsidRPr="007C36C6" w:rsidRDefault="00FB5C76"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w:t>
      </w:r>
      <w:r>
        <w:rPr>
          <w:rFonts w:ascii="宋体" w:hAnsi="宋体" w:cs="Arial"/>
          <w:kern w:val="0"/>
          <w:sz w:val="24"/>
        </w:rPr>
        <w:t>2</w:t>
      </w:r>
      <w:r>
        <w:rPr>
          <w:rFonts w:ascii="宋体" w:hAnsi="宋体" w:cs="Arial" w:hint="eastAsia"/>
          <w:kern w:val="0"/>
          <w:sz w:val="24"/>
        </w:rPr>
        <w:t>、</w:t>
      </w:r>
      <w:r w:rsidR="007C36C6" w:rsidRPr="007C36C6">
        <w:rPr>
          <w:rFonts w:ascii="宋体" w:hAnsi="宋体" w:cs="Arial" w:hint="eastAsia"/>
          <w:kern w:val="0"/>
          <w:sz w:val="24"/>
        </w:rPr>
        <w:t>本基金主动投资于流动性受限资产的市值合计不得超过本基金资产净值的15%。因证券市场波动、上市公司股票停牌、基金规模变动等基金管理人之外的因素致使本基金不符合前款所规定比例限制的，基金管理人不得主动新增流动性受限资产的投资；</w:t>
      </w:r>
    </w:p>
    <w:p w14:paraId="0C0FCC2C" w14:textId="19EDE603" w:rsidR="007C36C6" w:rsidRPr="007C36C6" w:rsidRDefault="00FB5C76"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w:t>
      </w:r>
      <w:r w:rsidR="00A903F4">
        <w:rPr>
          <w:rFonts w:ascii="宋体" w:hAnsi="宋体" w:cs="Arial" w:hint="eastAsia"/>
          <w:kern w:val="0"/>
          <w:sz w:val="24"/>
        </w:rPr>
        <w:t>3</w:t>
      </w:r>
      <w:r>
        <w:rPr>
          <w:rFonts w:ascii="宋体" w:hAnsi="宋体" w:cs="Arial" w:hint="eastAsia"/>
          <w:kern w:val="0"/>
          <w:sz w:val="24"/>
        </w:rPr>
        <w:t>、</w:t>
      </w:r>
      <w:r w:rsidR="007C36C6" w:rsidRPr="007C36C6">
        <w:rPr>
          <w:rFonts w:ascii="宋体" w:hAnsi="宋体" w:cs="Arial" w:hint="eastAsia"/>
          <w:kern w:val="0"/>
          <w:sz w:val="24"/>
        </w:rPr>
        <w:t>法律法规及中国证监会规定的和《基金合同》约定的其他投资限制；</w:t>
      </w:r>
    </w:p>
    <w:p w14:paraId="55185E51" w14:textId="569DB264" w:rsidR="007C36C6" w:rsidRPr="007C36C6" w:rsidRDefault="00FB5C76" w:rsidP="007C36C6">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w:t>
      </w:r>
      <w:r w:rsidR="00A903F4">
        <w:rPr>
          <w:rFonts w:ascii="宋体" w:hAnsi="宋体" w:cs="Arial" w:hint="eastAsia"/>
          <w:kern w:val="0"/>
          <w:sz w:val="24"/>
        </w:rPr>
        <w:t>4</w:t>
      </w:r>
      <w:r>
        <w:rPr>
          <w:rFonts w:ascii="宋体" w:hAnsi="宋体" w:cs="Arial" w:hint="eastAsia"/>
          <w:kern w:val="0"/>
          <w:sz w:val="24"/>
        </w:rPr>
        <w:t>、</w:t>
      </w:r>
      <w:r w:rsidR="007C36C6" w:rsidRPr="007C36C6">
        <w:rPr>
          <w:rFonts w:ascii="宋体" w:hAnsi="宋体" w:cs="Arial" w:hint="eastAsia"/>
          <w:kern w:val="0"/>
          <w:sz w:val="24"/>
        </w:rPr>
        <w:t>本基金投资流通受限证券，基金管理人应事先根据中国证监会相关规定进行投资。基金管理人应制订严格的投资决策流程和风险控制制度，防范流动性风险、法律风险和操作风险等各种风险。</w:t>
      </w:r>
    </w:p>
    <w:p w14:paraId="22E73B52" w14:textId="7C30F48C" w:rsidR="007C36C6" w:rsidRPr="007C36C6" w:rsidRDefault="007C36C6" w:rsidP="007C36C6">
      <w:pPr>
        <w:widowControl/>
        <w:adjustRightInd w:val="0"/>
        <w:snapToGrid w:val="0"/>
        <w:spacing w:line="360" w:lineRule="auto"/>
        <w:ind w:firstLineChars="200" w:firstLine="480"/>
        <w:rPr>
          <w:rFonts w:ascii="宋体" w:hAnsi="宋体" w:cs="Arial"/>
          <w:kern w:val="0"/>
          <w:sz w:val="24"/>
        </w:rPr>
      </w:pPr>
      <w:r w:rsidRPr="007C36C6">
        <w:rPr>
          <w:rFonts w:ascii="宋体" w:hAnsi="宋体" w:cs="Arial" w:hint="eastAsia"/>
          <w:kern w:val="0"/>
          <w:sz w:val="24"/>
        </w:rPr>
        <w:t>除上述第</w:t>
      </w:r>
      <w:r w:rsidR="00FB5C76">
        <w:rPr>
          <w:rFonts w:ascii="宋体" w:hAnsi="宋体" w:cs="Arial" w:hint="eastAsia"/>
          <w:kern w:val="0"/>
          <w:sz w:val="24"/>
        </w:rPr>
        <w:t>2</w:t>
      </w:r>
      <w:r w:rsidRPr="007C36C6">
        <w:rPr>
          <w:rFonts w:ascii="宋体" w:hAnsi="宋体" w:cs="Arial" w:hint="eastAsia"/>
          <w:kern w:val="0"/>
          <w:sz w:val="24"/>
        </w:rPr>
        <w:t>、</w:t>
      </w:r>
      <w:r w:rsidR="00FB5C76">
        <w:rPr>
          <w:rFonts w:ascii="宋体" w:hAnsi="宋体" w:cs="Arial" w:hint="eastAsia"/>
          <w:kern w:val="0"/>
          <w:sz w:val="24"/>
        </w:rPr>
        <w:t>1</w:t>
      </w:r>
      <w:r w:rsidR="00FB5C76">
        <w:rPr>
          <w:rFonts w:ascii="宋体" w:hAnsi="宋体" w:cs="Arial"/>
          <w:kern w:val="0"/>
          <w:sz w:val="24"/>
        </w:rPr>
        <w:t>2</w:t>
      </w:r>
      <w:r w:rsidRPr="007C36C6">
        <w:rPr>
          <w:rFonts w:ascii="宋体" w:hAnsi="宋体" w:cs="Arial" w:hint="eastAsia"/>
          <w:kern w:val="0"/>
          <w:sz w:val="24"/>
        </w:rPr>
        <w:t>、</w:t>
      </w:r>
      <w:r w:rsidR="00FB5C76">
        <w:rPr>
          <w:rFonts w:ascii="宋体" w:hAnsi="宋体" w:cs="Arial"/>
          <w:kern w:val="0"/>
          <w:sz w:val="24"/>
        </w:rPr>
        <w:t>22</w:t>
      </w:r>
      <w:r w:rsidRPr="007C36C6">
        <w:rPr>
          <w:rFonts w:ascii="宋体" w:hAnsi="宋体" w:cs="Arial" w:hint="eastAsia"/>
          <w:kern w:val="0"/>
          <w:sz w:val="24"/>
        </w:rPr>
        <w:t>项外，因证券市场波动、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1BDB6FDD" w14:textId="11E65948" w:rsidR="007C36C6" w:rsidRPr="007C36C6" w:rsidRDefault="007C36C6" w:rsidP="007C36C6">
      <w:pPr>
        <w:widowControl/>
        <w:adjustRightInd w:val="0"/>
        <w:snapToGrid w:val="0"/>
        <w:spacing w:line="360" w:lineRule="auto"/>
        <w:ind w:firstLineChars="200" w:firstLine="480"/>
        <w:rPr>
          <w:rFonts w:ascii="宋体" w:hAnsi="宋体" w:cs="Arial"/>
          <w:kern w:val="0"/>
          <w:sz w:val="24"/>
        </w:rPr>
      </w:pPr>
      <w:r w:rsidRPr="007C36C6">
        <w:rPr>
          <w:rFonts w:ascii="宋体" w:hAnsi="宋体" w:cs="Arial"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0A41B6B8" w14:textId="77777777" w:rsidR="007C36C6" w:rsidRDefault="007C36C6">
      <w:pPr>
        <w:widowControl/>
        <w:adjustRightInd w:val="0"/>
        <w:snapToGrid w:val="0"/>
        <w:spacing w:line="360" w:lineRule="auto"/>
        <w:ind w:firstLineChars="200" w:firstLine="480"/>
        <w:rPr>
          <w:rFonts w:ascii="宋体" w:hAnsi="宋体" w:cs="Arial"/>
          <w:kern w:val="0"/>
          <w:sz w:val="24"/>
        </w:rPr>
      </w:pPr>
      <w:r w:rsidRPr="007C36C6">
        <w:rPr>
          <w:rFonts w:ascii="宋体" w:hAnsi="宋体" w:cs="Arial" w:hint="eastAsia"/>
          <w:kern w:val="0"/>
          <w:sz w:val="24"/>
        </w:rPr>
        <w:t>法律法规或监管部门取消或调整上述限制，如适用于本基金，基金管理人在履行适当程序后，则本基金投资不再受相关限制或按调整后的规定执行。</w:t>
      </w:r>
    </w:p>
    <w:p w14:paraId="2370344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（三）基金托管人</w:t>
      </w:r>
      <w:bookmarkStart w:id="8" w:name="OLE_LINK1"/>
      <w:r>
        <w:rPr>
          <w:rFonts w:ascii="宋体" w:hAnsi="宋体" w:cs="Arial" w:hint="eastAsia"/>
          <w:kern w:val="0"/>
          <w:sz w:val="24"/>
        </w:rPr>
        <w:t>根据有关法律法规的规定及《基金合同》的约定，</w:t>
      </w:r>
      <w:bookmarkEnd w:id="8"/>
      <w:r>
        <w:rPr>
          <w:rFonts w:ascii="宋体" w:hAnsi="宋体" w:cs="Arial" w:hint="eastAsia"/>
          <w:kern w:val="0"/>
          <w:sz w:val="24"/>
        </w:rPr>
        <w:t>对本托管协议第十五条第九款基金投资禁止行为通过事后监督方式进行监督。</w:t>
      </w:r>
    </w:p>
    <w:p w14:paraId="22926874"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运用基金财产买卖基金管理人、基金托管人及其控股股东、实际控制人或者与其有重大利害关系的公司发行的证券或者承销的证券，或者从事其他重大关联交易的，应当符合基金的投资目标和投资策略，遵循基金份额持有人利益优先的原则，防范利益冲突，</w:t>
      </w:r>
      <w:r>
        <w:rPr>
          <w:rFonts w:hint="eastAsia"/>
          <w:bCs/>
          <w:sz w:val="24"/>
        </w:rPr>
        <w:t>建立健全内部审批机制和评估机制，按照市场公平合理价格执行。</w:t>
      </w:r>
      <w:r>
        <w:rPr>
          <w:rFonts w:ascii="宋体" w:hAnsi="宋体" w:cs="Arial" w:hint="eastAsia"/>
          <w:kern w:val="0"/>
          <w:sz w:val="24"/>
        </w:rPr>
        <w:t xml:space="preserve">相关交易必须事先得到基金托管人的同意，并履行信息披露义务。重大关联交易应提交基金管理人董事会审议，并经过三分之二以上的独立董事通过。基金管理人董事会应至少每半年对关联交易事项进行审查。 </w:t>
      </w:r>
    </w:p>
    <w:p w14:paraId="65BDE9C1" w14:textId="59E25062"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r w:rsidR="00C16213" w:rsidRPr="00C16213">
        <w:rPr>
          <w:rFonts w:ascii="宋体" w:hAnsi="宋体" w:cs="Arial" w:hint="eastAsia"/>
          <w:kern w:val="0"/>
          <w:sz w:val="24"/>
        </w:rPr>
        <w:t>若管理人未提供交易对手名单，则视同可与所有交易对手进行交易。</w:t>
      </w:r>
    </w:p>
    <w:p w14:paraId="41BD731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BF6363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（五）基金托管人根据有关法律法规的规定及《基金合同》的约定，对基金管理人投资流通受限证券进行监督。</w:t>
      </w:r>
    </w:p>
    <w:p w14:paraId="4F8AC089"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909187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本基金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CFC7F20"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本基金投资的流通受限证券限于可由中国证券登记结算有限责任公司或中央国债登记结算有限责任公司负责登记和存管，并可在证券交易所或全国银行间债券市场交易的证券。</w:t>
      </w:r>
    </w:p>
    <w:p w14:paraId="4DA5A5B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6D28AE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本基金投资流通受限证券，不得预付任何形式的保证金。</w:t>
      </w:r>
    </w:p>
    <w:p w14:paraId="3627E00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2CABFD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72E7DA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D96AA96"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（1）中国证监会批准发行非公开发行股票的批准文件。</w:t>
      </w:r>
    </w:p>
    <w:p w14:paraId="581B043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（2）非公开发行股票有关发行数量、发行价格、锁定期等发行资料。</w:t>
      </w:r>
    </w:p>
    <w:p w14:paraId="1F7CEBD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（3）非公开发行股票发行人与中国证券登记结算有限责任公司或中央国债登记结算有限责任公司签订的证券登记及服务协议。</w:t>
      </w:r>
    </w:p>
    <w:p w14:paraId="1670BD1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（4）基金拟认购的数量、价格、总成本、账面价值。</w:t>
      </w:r>
    </w:p>
    <w:p w14:paraId="7E124230" w14:textId="32FC25B6"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4.基金管理人应在本基金投资非公开发行股票后两个交易日内，在中国证监会</w:t>
      </w:r>
      <w:r w:rsidR="00A903F4">
        <w:rPr>
          <w:rFonts w:ascii="宋体" w:hAnsi="宋体" w:cs="Arial" w:hint="eastAsia"/>
          <w:kern w:val="0"/>
          <w:sz w:val="24"/>
        </w:rPr>
        <w:t>规定媒介</w:t>
      </w:r>
      <w:r>
        <w:rPr>
          <w:rFonts w:ascii="宋体" w:hAnsi="宋体" w:cs="Arial" w:hint="eastAsia"/>
          <w:kern w:val="0"/>
          <w:sz w:val="24"/>
        </w:rPr>
        <w:t>披露所投资非公开发行股票的名称、数量、总成本、账面价值，以及总成本和账面价值占基金资产净值的比例、锁定期等信息。</w:t>
      </w:r>
    </w:p>
    <w:p w14:paraId="1D8225CC" w14:textId="0E3F8473"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本基金有关投资流通受限证券比例如违反有关限制规定，在合理期限内未能进行及时调整，基金管理人应在两日内编制临时报告书，予以公告。</w:t>
      </w:r>
    </w:p>
    <w:p w14:paraId="24F0CE6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5.基金托管人根据有关规定有权对基金管理人进行以下事项监督：</w:t>
      </w:r>
    </w:p>
    <w:p w14:paraId="452B810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（1）本基金投资流通受限证券时的法律法规遵守情况。</w:t>
      </w:r>
    </w:p>
    <w:p w14:paraId="31022FE1"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（2）在基金投资流通受限证券管理工作方面有关制度、流动性风险处置预案的建立与完善情况。</w:t>
      </w:r>
    </w:p>
    <w:p w14:paraId="3BF39D0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（3）有关比例限制的执行情况。</w:t>
      </w:r>
    </w:p>
    <w:p w14:paraId="0BDB4081"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（4）信息披露情况。</w:t>
      </w:r>
    </w:p>
    <w:p w14:paraId="7546421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6.相关法律法规对基金投资流通受限证券有新规定的，从其规定。</w:t>
      </w:r>
    </w:p>
    <w:p w14:paraId="23636E0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38803F5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2B0A7C5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七）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4C50F4F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8D37084"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290534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（十）若基金托管人发现基金管理人依据交易程序已经生效的指令违反法律、行政法规和其他有关规定，或者违反《基金合同》约定的，应当立即通知基金管理人，由此造成的损失由基金管理人承担。</w:t>
      </w:r>
    </w:p>
    <w:p w14:paraId="35D827D5" w14:textId="3EF6A979" w:rsidR="00FE1E2C" w:rsidRDefault="00827B77" w:rsidP="00FE1E2C">
      <w:pPr>
        <w:widowControl/>
        <w:adjustRightInd w:val="0"/>
        <w:snapToGrid w:val="0"/>
        <w:spacing w:line="360" w:lineRule="auto"/>
        <w:ind w:firstLineChars="200" w:firstLine="480"/>
        <w:rPr>
          <w:rFonts w:ascii="彩虹粗仿宋" w:eastAsia="彩虹粗仿宋"/>
          <w:sz w:val="24"/>
        </w:rPr>
      </w:pPr>
      <w:r>
        <w:rPr>
          <w:rFonts w:ascii="宋体" w:hAnsi="宋体" w:cs="Arial" w:hint="eastAsia"/>
          <w:kern w:val="0"/>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7D04ED1" w14:textId="77777777" w:rsidR="00FE1E2C" w:rsidRDefault="00FE1E2C">
      <w:pPr>
        <w:widowControl/>
        <w:jc w:val="left"/>
        <w:rPr>
          <w:rFonts w:ascii="彩虹粗仿宋" w:eastAsia="彩虹粗仿宋"/>
          <w:sz w:val="24"/>
        </w:rPr>
      </w:pPr>
      <w:r>
        <w:rPr>
          <w:rFonts w:ascii="彩虹粗仿宋" w:eastAsia="彩虹粗仿宋"/>
          <w:sz w:val="24"/>
        </w:rPr>
        <w:br w:type="page"/>
      </w:r>
    </w:p>
    <w:p w14:paraId="45E28DAD" w14:textId="77777777" w:rsidR="005D3DFE" w:rsidRDefault="005D3DFE" w:rsidP="006A5A85">
      <w:pPr>
        <w:widowControl/>
        <w:adjustRightInd w:val="0"/>
        <w:snapToGrid w:val="0"/>
        <w:spacing w:line="360" w:lineRule="auto"/>
        <w:ind w:firstLineChars="200" w:firstLine="504"/>
        <w:rPr>
          <w:rFonts w:ascii="彩虹粗仿宋" w:eastAsia="彩虹粗仿宋"/>
          <w:sz w:val="24"/>
        </w:rPr>
      </w:pPr>
    </w:p>
    <w:p w14:paraId="38EE7559" w14:textId="77777777" w:rsidR="00553A42" w:rsidRPr="005D3DFE" w:rsidRDefault="00827B77">
      <w:pPr>
        <w:pStyle w:val="2"/>
        <w:jc w:val="center"/>
        <w:rPr>
          <w:rFonts w:asciiTheme="minorEastAsia" w:eastAsiaTheme="minorEastAsia" w:hAnsiTheme="minorEastAsia"/>
          <w:sz w:val="30"/>
        </w:rPr>
      </w:pPr>
      <w:bookmarkStart w:id="9" w:name="_Toc119402710"/>
      <w:bookmarkStart w:id="10" w:name="_Toc120435783"/>
      <w:bookmarkStart w:id="11" w:name="_Toc86727355"/>
      <w:bookmarkStart w:id="12" w:name="_Toc118774803"/>
      <w:bookmarkStart w:id="13" w:name="_Toc108512358"/>
      <w:bookmarkStart w:id="14" w:name="_Toc89163368"/>
      <w:bookmarkStart w:id="15" w:name="_Toc110761796"/>
      <w:bookmarkStart w:id="16" w:name="_Toc110765660"/>
      <w:bookmarkStart w:id="17" w:name="_Toc86225291"/>
      <w:bookmarkStart w:id="18" w:name="_Toc86726439"/>
      <w:bookmarkStart w:id="19" w:name="_Toc118972648"/>
      <w:bookmarkStart w:id="20" w:name="_Toc118212950"/>
      <w:bookmarkStart w:id="21" w:name="_Toc86223242"/>
      <w:bookmarkStart w:id="22" w:name="_Toc86649722"/>
      <w:bookmarkStart w:id="23" w:name="_Toc110830492"/>
      <w:bookmarkStart w:id="24" w:name="_Toc86737929"/>
      <w:bookmarkStart w:id="25" w:name="_Toc62934249"/>
      <w:r w:rsidRPr="005D3DFE">
        <w:rPr>
          <w:rFonts w:asciiTheme="minorEastAsia" w:eastAsiaTheme="minorEastAsia" w:hAnsiTheme="minorEastAsia" w:hint="eastAsia"/>
          <w:sz w:val="30"/>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F18A496"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的基金份额净值、根据基金管理人指令办理清算交收、相关信息披露和监督基金投资运作等行为。</w:t>
      </w:r>
    </w:p>
    <w:p w14:paraId="5F6ECC6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50B2139" w14:textId="6CCFA81F" w:rsidR="00AF34D4" w:rsidRDefault="00827B77" w:rsidP="00AF34D4">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571927D" w14:textId="77777777" w:rsidR="00AF34D4" w:rsidRDefault="00AF34D4">
      <w:pPr>
        <w:widowControl/>
        <w:jc w:val="left"/>
        <w:rPr>
          <w:rFonts w:ascii="宋体" w:hAnsi="宋体" w:cs="Arial"/>
          <w:kern w:val="0"/>
          <w:sz w:val="24"/>
        </w:rPr>
      </w:pPr>
      <w:r>
        <w:rPr>
          <w:rFonts w:ascii="宋体" w:hAnsi="宋体" w:cs="Arial"/>
          <w:kern w:val="0"/>
          <w:sz w:val="24"/>
        </w:rPr>
        <w:br w:type="page"/>
      </w:r>
    </w:p>
    <w:p w14:paraId="6A8E368D" w14:textId="77777777" w:rsidR="00E43D07" w:rsidRPr="00AF34D4" w:rsidRDefault="00E43D07" w:rsidP="00AF34D4">
      <w:pPr>
        <w:widowControl/>
        <w:adjustRightInd w:val="0"/>
        <w:snapToGrid w:val="0"/>
        <w:spacing w:line="360" w:lineRule="auto"/>
        <w:ind w:firstLineChars="200" w:firstLine="480"/>
        <w:rPr>
          <w:rFonts w:ascii="宋体" w:hAnsi="宋体" w:cs="Arial"/>
          <w:kern w:val="0"/>
          <w:sz w:val="24"/>
        </w:rPr>
      </w:pPr>
    </w:p>
    <w:p w14:paraId="230F07C5" w14:textId="77777777" w:rsidR="00553A42" w:rsidRPr="005D3DFE" w:rsidRDefault="00827B77">
      <w:pPr>
        <w:pStyle w:val="2"/>
        <w:jc w:val="center"/>
        <w:rPr>
          <w:rFonts w:asciiTheme="minorEastAsia" w:eastAsiaTheme="minorEastAsia" w:hAnsiTheme="minorEastAsia"/>
          <w:sz w:val="30"/>
        </w:rPr>
      </w:pPr>
      <w:bookmarkStart w:id="26" w:name="_Toc86223243"/>
      <w:bookmarkStart w:id="27" w:name="_Toc110830493"/>
      <w:bookmarkStart w:id="28" w:name="_Toc89163369"/>
      <w:bookmarkStart w:id="29" w:name="_Toc118972649"/>
      <w:bookmarkStart w:id="30" w:name="_Toc118212951"/>
      <w:bookmarkStart w:id="31" w:name="_Toc120435784"/>
      <w:bookmarkStart w:id="32" w:name="_Toc108512359"/>
      <w:bookmarkStart w:id="33" w:name="_Toc118774804"/>
      <w:bookmarkStart w:id="34" w:name="_Toc86649723"/>
      <w:bookmarkStart w:id="35" w:name="_Toc110761797"/>
      <w:bookmarkStart w:id="36" w:name="_Toc110765661"/>
      <w:bookmarkStart w:id="37" w:name="_Toc84234388"/>
      <w:bookmarkStart w:id="38" w:name="_Toc86726440"/>
      <w:bookmarkStart w:id="39" w:name="_Toc86737930"/>
      <w:bookmarkStart w:id="40" w:name="_Toc84133786"/>
      <w:bookmarkStart w:id="41" w:name="_Toc84234435"/>
      <w:bookmarkStart w:id="42" w:name="_Toc119402711"/>
      <w:bookmarkStart w:id="43" w:name="_Toc86204789"/>
      <w:bookmarkStart w:id="44" w:name="_Toc86727356"/>
      <w:bookmarkStart w:id="45" w:name="_Toc86225292"/>
      <w:bookmarkStart w:id="46" w:name="_Toc62934250"/>
      <w:r w:rsidRPr="005D3DFE">
        <w:rPr>
          <w:rFonts w:asciiTheme="minorEastAsia" w:eastAsiaTheme="minorEastAsia" w:hAnsiTheme="minorEastAsia" w:hint="eastAsia"/>
          <w:sz w:val="30"/>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2A9D414"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（一）基金财产保管的原则</w:t>
      </w:r>
    </w:p>
    <w:p w14:paraId="1839CFF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1.基金财产应独立于基金管理人、基金托管人的固有财产。</w:t>
      </w:r>
    </w:p>
    <w:p w14:paraId="7CED1D1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2.基金托管人应安全保管基金财产。</w:t>
      </w:r>
    </w:p>
    <w:p w14:paraId="2F82B33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3.基金托管人按照规定开设基金财产的资金账户和证券账户等投资所需账户。</w:t>
      </w:r>
    </w:p>
    <w:p w14:paraId="4421D1C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4.基金托管人对所托管的不同基金财产分别设置账户，确保基金财产的完整与独立。</w:t>
      </w:r>
    </w:p>
    <w:p w14:paraId="607A34E8" w14:textId="595D6A60"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w:t>
      </w:r>
      <w:r w:rsidR="00165BFD" w:rsidRPr="00165BFD">
        <w:rPr>
          <w:rFonts w:ascii="宋体" w:hAnsi="宋体" w:cs="Arial" w:hint="eastAsia"/>
          <w:kern w:val="0"/>
          <w:sz w:val="24"/>
        </w:rPr>
        <w:t>或交易/登记结算机构扣收交易费、</w:t>
      </w:r>
      <w:r>
        <w:rPr>
          <w:rFonts w:ascii="宋体" w:hAnsi="宋体" w:cs="Arial" w:hint="eastAsia"/>
          <w:kern w:val="0"/>
          <w:sz w:val="24"/>
        </w:rPr>
        <w:t>结算费和账户维护费等费用）。</w:t>
      </w:r>
    </w:p>
    <w:p w14:paraId="4B4C922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38FD54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7.除依据法律法规和《基金合同》的规定外，基金托管人不得委托第三人托管基金财产。</w:t>
      </w:r>
    </w:p>
    <w:p w14:paraId="448E88E9" w14:textId="4F443509" w:rsidR="00906408" w:rsidRPr="00906408" w:rsidRDefault="00827B77" w:rsidP="00906408">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w:t>
      </w:r>
      <w:r w:rsidR="00906408" w:rsidRPr="00906408">
        <w:rPr>
          <w:rFonts w:ascii="宋体" w:hAnsi="宋体" w:cs="Arial" w:hint="eastAsia"/>
          <w:kern w:val="0"/>
          <w:sz w:val="24"/>
        </w:rPr>
        <w:t>基金财产的交接</w:t>
      </w:r>
    </w:p>
    <w:p w14:paraId="184D1DAF" w14:textId="1FA6A79E" w:rsidR="00553A42" w:rsidRDefault="00906408" w:rsidP="00A556AF">
      <w:pPr>
        <w:widowControl/>
        <w:adjustRightInd w:val="0"/>
        <w:snapToGrid w:val="0"/>
        <w:spacing w:line="360" w:lineRule="auto"/>
        <w:ind w:firstLineChars="200" w:firstLine="480"/>
        <w:rPr>
          <w:rFonts w:ascii="宋体" w:hAnsi="宋体" w:cs="Arial"/>
          <w:kern w:val="0"/>
          <w:sz w:val="24"/>
        </w:rPr>
      </w:pPr>
      <w:r w:rsidRPr="00906408">
        <w:rPr>
          <w:rFonts w:ascii="宋体" w:hAnsi="宋体" w:cs="Arial" w:hint="eastAsia"/>
          <w:kern w:val="0"/>
          <w:sz w:val="24"/>
        </w:rPr>
        <w:t>建设银行作为临时基金托管人，应及时与包商银行股份有限公司办理基金财产和基金托管业务的移交手续。</w:t>
      </w:r>
    </w:p>
    <w:p w14:paraId="61788E5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（三）基金银行账户的开立和管理</w:t>
      </w:r>
    </w:p>
    <w:p w14:paraId="68F8F87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1.基金托管人应以本基金的名义在其营业机构开立基金的银行账户，并根据基金管理人合法合规的指令办理资金收付。本基金的银行预留印鉴由基金托管人保管和使用。</w:t>
      </w:r>
    </w:p>
    <w:p w14:paraId="3261DAA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2.基金银行账户的开立和使用，限于满足开展本基金业务的需要。基金托管人和基金管理人不得假借本基金的名义开立任何其他银行账户；亦不得使用基金的任何账户进行本基金业务以外的活动。</w:t>
      </w:r>
    </w:p>
    <w:p w14:paraId="6F0E338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3.基金银行账户的开立和管理应符合银行业监督管理机构的有关规定。</w:t>
      </w:r>
    </w:p>
    <w:p w14:paraId="0EDC7DDE" w14:textId="4C7B41D6"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4.在符合法律法规规定的条件下，基金托管人可以通过基金托管人专用账户办理基金资产的支付。</w:t>
      </w:r>
    </w:p>
    <w:p w14:paraId="2F99970B" w14:textId="0E2DA371" w:rsidR="00C45A73" w:rsidRDefault="00C45A73">
      <w:pPr>
        <w:widowControl/>
        <w:adjustRightInd w:val="0"/>
        <w:snapToGrid w:val="0"/>
        <w:spacing w:line="360" w:lineRule="auto"/>
        <w:ind w:firstLineChars="200" w:firstLine="480"/>
        <w:rPr>
          <w:rFonts w:ascii="宋体" w:hAnsi="宋体" w:cs="Arial"/>
          <w:kern w:val="0"/>
          <w:sz w:val="24"/>
        </w:rPr>
      </w:pPr>
      <w:r w:rsidRPr="00405645">
        <w:rPr>
          <w:rFonts w:ascii="宋体" w:hAnsi="宋体" w:cs="Arial" w:hint="eastAsia"/>
          <w:sz w:val="24"/>
        </w:rPr>
        <w:t>5.管理人应于托管产品清盘后及时完成收益兑付、费用结清及其他应收应付款项资金划转，在确保后续不再发生款项进出后的10个工作日内向托管人发出销户申请。</w:t>
      </w:r>
    </w:p>
    <w:p w14:paraId="3BD578C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（四）基金证券账户和结算备付金账户的开立和管理</w:t>
      </w:r>
    </w:p>
    <w:p w14:paraId="0788316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1.基金托管人在中国证券登记结算有限责任公司上海分公司、深圳分公司为基金开立基金托管人与基金联名的证券账户。</w:t>
      </w:r>
    </w:p>
    <w:p w14:paraId="0EDD2474"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4CC214C" w14:textId="4AB3A696"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3.基金证券账户的开立和证券账户卡的保管由基金托管人负责，账户资产的管理和运用由基金管理人负责。</w:t>
      </w:r>
    </w:p>
    <w:p w14:paraId="1424F7B2" w14:textId="77777777" w:rsidR="00A556AF"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w:t>
      </w:r>
      <w:r w:rsidR="00F25273" w:rsidRPr="00F25273">
        <w:rPr>
          <w:rFonts w:hint="eastAsia"/>
        </w:rPr>
        <w:t xml:space="preserve"> </w:t>
      </w:r>
      <w:r w:rsidR="00F25273" w:rsidRPr="00F25273">
        <w:rPr>
          <w:rFonts w:ascii="宋体" w:hAnsi="宋体" w:cs="Arial" w:hint="eastAsia"/>
          <w:kern w:val="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r w:rsidR="00A556AF">
        <w:rPr>
          <w:rFonts w:ascii="宋体" w:hAnsi="宋体" w:cs="Arial" w:hint="eastAsia"/>
          <w:kern w:val="0"/>
          <w:sz w:val="24"/>
        </w:rPr>
        <w:t>.</w:t>
      </w:r>
    </w:p>
    <w:p w14:paraId="3626526D" w14:textId="4C80A73E" w:rsidR="00553A42" w:rsidRDefault="00A556AF">
      <w:pPr>
        <w:widowControl/>
        <w:adjustRightInd w:val="0"/>
        <w:snapToGrid w:val="0"/>
        <w:spacing w:line="360" w:lineRule="auto"/>
        <w:ind w:firstLineChars="200" w:firstLine="480"/>
        <w:rPr>
          <w:rFonts w:ascii="宋体" w:hAnsi="宋体" w:cs="Arial"/>
          <w:kern w:val="0"/>
          <w:sz w:val="24"/>
        </w:rPr>
      </w:pPr>
      <w:r w:rsidRPr="005F7AE5">
        <w:rPr>
          <w:rFonts w:ascii="宋体" w:hAnsi="宋体" w:cs="Arial"/>
          <w:sz w:val="24"/>
        </w:rPr>
        <w:t>5</w:t>
      </w:r>
      <w:r w:rsidR="00CF4E27">
        <w:rPr>
          <w:rFonts w:ascii="宋体" w:hAnsi="宋体" w:cs="Arial" w:hint="eastAsia"/>
          <w:sz w:val="24"/>
        </w:rPr>
        <w:t>.</w:t>
      </w:r>
      <w:r w:rsidRPr="005F7AE5">
        <w:rPr>
          <w:rFonts w:ascii="宋体" w:hAnsi="宋体" w:cs="Arial"/>
          <w:sz w:val="24"/>
        </w:rPr>
        <w:t>账户注销时，在遵守中国证券登记结算</w:t>
      </w:r>
      <w:r w:rsidRPr="005F7AE5">
        <w:rPr>
          <w:rFonts w:ascii="宋体" w:hAnsi="宋体" w:cs="Arial" w:hint="eastAsia"/>
          <w:sz w:val="24"/>
        </w:rPr>
        <w:t>有限责任</w:t>
      </w:r>
      <w:r w:rsidRPr="005F7AE5">
        <w:rPr>
          <w:rFonts w:ascii="宋体" w:hAnsi="宋体" w:cs="Arial"/>
          <w:sz w:val="24"/>
        </w:rPr>
        <w:t>公司的相关规定下，由管理人和托</w:t>
      </w:r>
      <w:r w:rsidRPr="005F7AE5">
        <w:rPr>
          <w:rFonts w:ascii="宋体" w:hAnsi="宋体" w:cs="Arial" w:hint="eastAsia"/>
          <w:sz w:val="24"/>
        </w:rPr>
        <w:t>管人协商确认主要办理人。账户注销期间，主要办理人如需另一方提供配合的，另一方应予以配合。</w:t>
      </w:r>
    </w:p>
    <w:p w14:paraId="7734F610" w14:textId="7E9CDF8B" w:rsidR="00553A42" w:rsidRDefault="00A556AF">
      <w:pPr>
        <w:widowControl/>
        <w:adjustRightInd w:val="0"/>
        <w:snapToGrid w:val="0"/>
        <w:spacing w:line="360" w:lineRule="auto"/>
        <w:ind w:firstLineChars="200" w:firstLine="480"/>
        <w:rPr>
          <w:rFonts w:ascii="宋体" w:hAnsi="宋体" w:cs="Arial"/>
          <w:kern w:val="0"/>
          <w:sz w:val="24"/>
        </w:rPr>
      </w:pPr>
      <w:r>
        <w:rPr>
          <w:rFonts w:ascii="宋体" w:hAnsi="宋体" w:cs="Arial"/>
          <w:kern w:val="0"/>
          <w:sz w:val="24"/>
        </w:rPr>
        <w:t>6</w:t>
      </w:r>
      <w:r w:rsidR="00827B77">
        <w:rPr>
          <w:rFonts w:ascii="宋体" w:hAnsi="宋体" w:cs="Arial" w:hint="eastAsia"/>
          <w:kern w:val="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5D0B52E" w14:textId="6338D885"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（五）债券托管</w:t>
      </w:r>
      <w:r w:rsidR="00165BFD">
        <w:rPr>
          <w:rFonts w:ascii="宋体" w:hAnsi="宋体" w:cs="Arial" w:hint="eastAsia"/>
          <w:kern w:val="0"/>
          <w:sz w:val="24"/>
        </w:rPr>
        <w:t>账户</w:t>
      </w:r>
      <w:r>
        <w:rPr>
          <w:rFonts w:ascii="宋体" w:hAnsi="宋体" w:cs="Arial" w:hint="eastAsia"/>
          <w:kern w:val="0"/>
          <w:sz w:val="24"/>
        </w:rPr>
        <w:t>的开设和管理</w:t>
      </w:r>
    </w:p>
    <w:p w14:paraId="72C378C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基金合同》生效后，基金管理人负责以本基金的名义申请并取得进入全国银行间同业拆借市场的交易资格，并代表基金进行交易；基金托管人根据中国人民银行、银行间市场登记结算机构的有关规定，以本基金名义在银行间市场登记结算机构开立债券托管账户，持有人账户和资金结算账户，并代表基金进行银行间市场债券的结算。基金管理人和基金托管人共同代表基金签订全国银行间债券市场债券回购主协议。</w:t>
      </w:r>
    </w:p>
    <w:p w14:paraId="4FFE618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（六）其他账户的开立和管理</w:t>
      </w:r>
    </w:p>
    <w:p w14:paraId="6CF0916B" w14:textId="16D75E6E"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6407AF1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2.法律法规等有关规定对相关账户的开立和管理另有规定的，从其规定办理。</w:t>
      </w:r>
    </w:p>
    <w:p w14:paraId="15D574C1"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（七）基金财产投资的有关有价凭证等的保管</w:t>
      </w:r>
    </w:p>
    <w:p w14:paraId="38ECD0B4" w14:textId="5F4E5BF4"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w:t>
      </w:r>
      <w:r w:rsidR="00165BFD" w:rsidRPr="00165BFD">
        <w:rPr>
          <w:rFonts w:ascii="宋体" w:hAnsi="宋体" w:cs="Arial" w:hint="eastAsia"/>
          <w:kern w:val="0"/>
          <w:sz w:val="24"/>
        </w:rPr>
        <w:t>/北京分公司、银行间市场清算所股份有限公司</w:t>
      </w:r>
      <w:r w:rsidRPr="00165BFD">
        <w:rPr>
          <w:rFonts w:ascii="宋体" w:hAnsi="宋体" w:cs="Arial" w:hint="eastAsia"/>
          <w:kern w:val="0"/>
          <w:sz w:val="24"/>
        </w:rPr>
        <w:t>或</w:t>
      </w:r>
      <w:r>
        <w:rPr>
          <w:rFonts w:ascii="宋体" w:hAnsi="宋体" w:cs="Arial" w:hint="eastAsia"/>
          <w:kern w:val="0"/>
          <w:sz w:val="24"/>
        </w:rPr>
        <w:t>票据营业中心的代保管库，保管凭证由基金托管人持有。实物证券、银行定期存款证实书等有价凭证的购买和转让，按基金管理人和基金托管人双方约定办理。基金托管人对由基金托管人以外机构实际有效控制</w:t>
      </w:r>
      <w:r w:rsidR="00DD2E82">
        <w:rPr>
          <w:rFonts w:ascii="宋体" w:hAnsi="宋体" w:cs="Arial" w:hint="eastAsia"/>
          <w:kern w:val="0"/>
          <w:sz w:val="24"/>
        </w:rPr>
        <w:t>或保管</w:t>
      </w:r>
      <w:r>
        <w:rPr>
          <w:rFonts w:ascii="宋体" w:hAnsi="宋体" w:cs="Arial" w:hint="eastAsia"/>
          <w:kern w:val="0"/>
          <w:sz w:val="24"/>
        </w:rPr>
        <w:t>的资产不承担</w:t>
      </w:r>
      <w:r w:rsidR="00DD2E82">
        <w:rPr>
          <w:rFonts w:ascii="宋体" w:hAnsi="宋体" w:cs="Arial" w:hint="eastAsia"/>
          <w:kern w:val="0"/>
          <w:sz w:val="24"/>
        </w:rPr>
        <w:t>任何</w:t>
      </w:r>
      <w:r>
        <w:rPr>
          <w:rFonts w:ascii="宋体" w:hAnsi="宋体" w:cs="Arial" w:hint="eastAsia"/>
          <w:kern w:val="0"/>
          <w:sz w:val="24"/>
        </w:rPr>
        <w:t>责任。</w:t>
      </w:r>
    </w:p>
    <w:p w14:paraId="700F52E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（八）与基金财产有关的重大合同的保管</w:t>
      </w:r>
    </w:p>
    <w:p w14:paraId="16EBFC4D" w14:textId="67E74E4C" w:rsidR="00C977D9" w:rsidRDefault="00827B77" w:rsidP="00C977D9">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00017726">
        <w:rPr>
          <w:rFonts w:ascii="宋体" w:hAnsi="宋体" w:cs="Arial" w:hint="eastAsia"/>
          <w:kern w:val="0"/>
          <w:sz w:val="24"/>
        </w:rPr>
        <w:t>不低于法律法规规定的保存期限</w:t>
      </w:r>
      <w:r>
        <w:rPr>
          <w:rFonts w:ascii="宋体" w:hAnsi="宋体" w:cs="Arial" w:hint="eastAsia"/>
          <w:kern w:val="0"/>
          <w:sz w:val="24"/>
        </w:rPr>
        <w:t>。</w:t>
      </w:r>
    </w:p>
    <w:p w14:paraId="774284E8" w14:textId="77777777" w:rsidR="00C977D9" w:rsidRDefault="00C977D9">
      <w:pPr>
        <w:widowControl/>
        <w:jc w:val="left"/>
        <w:rPr>
          <w:rFonts w:ascii="宋体" w:hAnsi="宋体" w:cs="Arial"/>
          <w:kern w:val="0"/>
          <w:sz w:val="24"/>
        </w:rPr>
      </w:pPr>
      <w:r>
        <w:rPr>
          <w:rFonts w:ascii="宋体" w:hAnsi="宋体" w:cs="Arial"/>
          <w:kern w:val="0"/>
          <w:sz w:val="24"/>
        </w:rPr>
        <w:br w:type="page"/>
      </w:r>
    </w:p>
    <w:p w14:paraId="02231E1A" w14:textId="6451E232" w:rsidR="005D3DFE" w:rsidRDefault="005D3DFE" w:rsidP="00C977D9">
      <w:pPr>
        <w:widowControl/>
        <w:adjustRightInd w:val="0"/>
        <w:snapToGrid w:val="0"/>
        <w:spacing w:line="360" w:lineRule="auto"/>
        <w:ind w:firstLineChars="200" w:firstLine="480"/>
        <w:rPr>
          <w:rFonts w:ascii="宋体" w:hAnsi="宋体" w:cs="Arial"/>
          <w:kern w:val="0"/>
          <w:sz w:val="24"/>
        </w:rPr>
      </w:pPr>
    </w:p>
    <w:p w14:paraId="3C7BDB1E" w14:textId="77777777" w:rsidR="00553A42" w:rsidRPr="005D3DFE" w:rsidRDefault="00827B77">
      <w:pPr>
        <w:pStyle w:val="2"/>
        <w:jc w:val="center"/>
        <w:rPr>
          <w:rFonts w:asciiTheme="minorEastAsia" w:eastAsiaTheme="minorEastAsia" w:hAnsiTheme="minorEastAsia"/>
          <w:sz w:val="30"/>
        </w:rPr>
      </w:pPr>
      <w:bookmarkStart w:id="47" w:name="_Toc84234389"/>
      <w:bookmarkStart w:id="48" w:name="_Toc84133787"/>
      <w:bookmarkStart w:id="49" w:name="_Toc86727357"/>
      <w:bookmarkStart w:id="50" w:name="_Toc86737931"/>
      <w:bookmarkStart w:id="51" w:name="_Toc110830494"/>
      <w:bookmarkStart w:id="52" w:name="_Toc110761798"/>
      <w:bookmarkStart w:id="53" w:name="_Toc86726441"/>
      <w:bookmarkStart w:id="54" w:name="_Toc118972650"/>
      <w:bookmarkStart w:id="55" w:name="_Toc86649724"/>
      <w:bookmarkStart w:id="56" w:name="_Toc89163370"/>
      <w:bookmarkStart w:id="57" w:name="_Toc108512360"/>
      <w:bookmarkStart w:id="58" w:name="_Toc110765662"/>
      <w:bookmarkStart w:id="59" w:name="_Toc86223244"/>
      <w:bookmarkStart w:id="60" w:name="_Toc86204790"/>
      <w:bookmarkStart w:id="61" w:name="_Toc86225293"/>
      <w:bookmarkStart w:id="62" w:name="_Toc118774805"/>
      <w:bookmarkStart w:id="63" w:name="_Toc120435785"/>
      <w:bookmarkStart w:id="64" w:name="_Toc84234436"/>
      <w:bookmarkStart w:id="65" w:name="_Toc118212952"/>
      <w:bookmarkStart w:id="66" w:name="_Toc119402712"/>
      <w:bookmarkStart w:id="67" w:name="_Toc62934251"/>
      <w:r w:rsidRPr="005D3DFE">
        <w:rPr>
          <w:rFonts w:asciiTheme="minorEastAsia" w:eastAsiaTheme="minorEastAsia" w:hAnsiTheme="minorEastAsia" w:hint="eastAsia"/>
          <w:sz w:val="30"/>
        </w:rPr>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5719BA59" w14:textId="2FB3A86E"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基金管理人在运用基金财产时向基金托管人发送资金划拨及其他款项付款指令，基金托管人执行基金管理人的指令、办理基金名下的资金往来等有关事项。</w:t>
      </w:r>
    </w:p>
    <w:p w14:paraId="110ED08F"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（一）基金管理人对发送指令人员的书面授权</w:t>
      </w:r>
    </w:p>
    <w:p w14:paraId="0063CAD4"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1.基金管理人应指定专人向基金托管人发送指令。</w:t>
      </w:r>
    </w:p>
    <w:p w14:paraId="0F68E86E"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2.基金管理人应向基金托管人提供书面授权文件，内容包括被授权人名单、预留印鉴及被授权人签字样本，授权文件应注明被授权人相应的权限。</w:t>
      </w:r>
    </w:p>
    <w:p w14:paraId="46A98D64"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1A21DD5"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4.基金管理人和基金托管人对授权文件负有保密义务，其内容不得向被授权人及相关操作人员以外的任何人泄露。但法律法规规定或有权机关要求的除外。</w:t>
      </w:r>
    </w:p>
    <w:p w14:paraId="735F64FE"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（二）指令的内容</w:t>
      </w:r>
    </w:p>
    <w:p w14:paraId="2DB264C7"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1.指令包括付款指令以及其他资金划拨指令等。</w:t>
      </w:r>
    </w:p>
    <w:p w14:paraId="2FD0ED8D"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2.基金管理人发给基金托管人的指令应写明款项事由、支付时间、到账时间、金额、账户等，加盖预留印鉴并由被授权人签字。</w:t>
      </w:r>
    </w:p>
    <w:p w14:paraId="7D360A18"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（三）指令的发送、确认及执行的时间和程序</w:t>
      </w:r>
    </w:p>
    <w:p w14:paraId="1D2E2CB0"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1.指令的发送</w:t>
      </w:r>
    </w:p>
    <w:p w14:paraId="0F751A0E"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基金管理人发送指令应采用加密传真方式或双方协商一致的其他方式。</w:t>
      </w:r>
    </w:p>
    <w:p w14:paraId="1A7554D1"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243A594"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指令发出后，基金管理人应及时以电话方式向基金托管人确认。</w:t>
      </w:r>
    </w:p>
    <w:p w14:paraId="1833D577"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lastRenderedPageBreak/>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79100A3"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2.指令的确认</w:t>
      </w:r>
    </w:p>
    <w:p w14:paraId="30D22EDA"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A5C3F89"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3.指令的时间和执行</w:t>
      </w:r>
    </w:p>
    <w:p w14:paraId="0FFE122F"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210C5D62"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（四）基金管理人发送错误指令的情形和处理程序</w:t>
      </w:r>
    </w:p>
    <w:p w14:paraId="726736F0"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基金管理人发送错误指令的情形包括指令违反法律法规和《基金合同》，指令发送人员无权或超越权限发送指令。</w:t>
      </w:r>
    </w:p>
    <w:p w14:paraId="7CB39A2F"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基金托管人在履行监督职能时，发现基金管理人的指令错误时，有权拒绝执行，并及时通知基金管理人改正。如需撤销指令，基金管理人应出具书面说明，并加盖业务用章。</w:t>
      </w:r>
    </w:p>
    <w:p w14:paraId="112EE6CD"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lastRenderedPageBreak/>
        <w:t>（五）基金托管人依照法律法规暂缓、拒绝执行指令的情形和处理程序</w:t>
      </w:r>
    </w:p>
    <w:p w14:paraId="4F590556"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若基金托管人发现基金管理人的指令违反法律法规，或者违反《基金合同》约定的，应当拒绝执行，立即通知基金管理人。</w:t>
      </w:r>
    </w:p>
    <w:p w14:paraId="252E9D4B"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（六）基金托管人未按照基金管理人指令执行的处理方法</w:t>
      </w:r>
    </w:p>
    <w:p w14:paraId="0855130D"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基金托管人由于过错，未按照基金管理人发送的指令执行并对基金财产或投资人造成的直接损失，由基金托管人赔偿由此造成的直接损失。</w:t>
      </w:r>
    </w:p>
    <w:p w14:paraId="42C8942B"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（七）更换被授权人员的程序</w:t>
      </w:r>
    </w:p>
    <w:p w14:paraId="23E9032D"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3D2B88C0"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（八）其他事项</w:t>
      </w:r>
    </w:p>
    <w:p w14:paraId="4A29F874" w14:textId="77777777" w:rsidR="005B5613" w:rsidRPr="005B5613" w:rsidRDefault="005B5613" w:rsidP="005B5613">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6AB235D" w14:textId="029F78F7" w:rsidR="00AF34D4" w:rsidRDefault="005B5613" w:rsidP="00AF34D4">
      <w:pPr>
        <w:widowControl/>
        <w:adjustRightInd w:val="0"/>
        <w:snapToGrid w:val="0"/>
        <w:spacing w:line="360" w:lineRule="auto"/>
        <w:ind w:firstLineChars="200" w:firstLine="480"/>
        <w:rPr>
          <w:rFonts w:ascii="宋体" w:hAnsi="宋体" w:cs="Arial"/>
          <w:kern w:val="0"/>
          <w:sz w:val="24"/>
        </w:rPr>
      </w:pPr>
      <w:r w:rsidRPr="005B5613">
        <w:rPr>
          <w:rFonts w:ascii="宋体" w:hAnsi="宋体" w:cs="Arial" w:hint="eastAsia"/>
          <w:kern w:val="0"/>
          <w:sz w:val="24"/>
        </w:rPr>
        <w:t>基金参与认购未上市债券时，基金管理人应代表本基金与对手方签署相关合同或协议，明确约定债券过户具体事宜。否则，基金管理人需对所认购债券的过户事宜承担相应责任。</w:t>
      </w:r>
    </w:p>
    <w:p w14:paraId="6AFE016C" w14:textId="77777777" w:rsidR="00AF34D4" w:rsidRDefault="00AF34D4">
      <w:pPr>
        <w:widowControl/>
        <w:jc w:val="left"/>
        <w:rPr>
          <w:rFonts w:ascii="宋体" w:hAnsi="宋体" w:cs="Arial"/>
          <w:kern w:val="0"/>
          <w:sz w:val="24"/>
        </w:rPr>
      </w:pPr>
      <w:r>
        <w:rPr>
          <w:rFonts w:ascii="宋体" w:hAnsi="宋体" w:cs="Arial"/>
          <w:kern w:val="0"/>
          <w:sz w:val="24"/>
        </w:rPr>
        <w:br w:type="page"/>
      </w:r>
    </w:p>
    <w:p w14:paraId="48F817B1" w14:textId="77777777" w:rsidR="00E43D07" w:rsidRPr="00AF34D4" w:rsidRDefault="00E43D07" w:rsidP="00AF34D4">
      <w:pPr>
        <w:widowControl/>
        <w:adjustRightInd w:val="0"/>
        <w:snapToGrid w:val="0"/>
        <w:spacing w:line="360" w:lineRule="auto"/>
        <w:ind w:firstLineChars="200" w:firstLine="480"/>
        <w:rPr>
          <w:rFonts w:ascii="宋体" w:hAnsi="宋体" w:cs="Arial"/>
          <w:kern w:val="0"/>
          <w:sz w:val="24"/>
        </w:rPr>
      </w:pPr>
    </w:p>
    <w:p w14:paraId="3D8CB560" w14:textId="77777777" w:rsidR="00553A42" w:rsidRPr="005D3DFE" w:rsidRDefault="00827B77">
      <w:pPr>
        <w:pStyle w:val="2"/>
        <w:jc w:val="center"/>
        <w:rPr>
          <w:rFonts w:asciiTheme="minorEastAsia" w:eastAsiaTheme="minorEastAsia" w:hAnsiTheme="minorEastAsia"/>
          <w:sz w:val="30"/>
        </w:rPr>
      </w:pPr>
      <w:bookmarkStart w:id="68" w:name="_Toc86737932"/>
      <w:bookmarkStart w:id="69" w:name="_Toc89163371"/>
      <w:bookmarkStart w:id="70" w:name="_Toc120435786"/>
      <w:bookmarkStart w:id="71" w:name="_Toc84234390"/>
      <w:bookmarkStart w:id="72" w:name="_Toc86223245"/>
      <w:bookmarkStart w:id="73" w:name="_Toc86726442"/>
      <w:bookmarkStart w:id="74" w:name="_Toc84133788"/>
      <w:bookmarkStart w:id="75" w:name="_Toc108512361"/>
      <w:bookmarkStart w:id="76" w:name="_Toc86649725"/>
      <w:bookmarkStart w:id="77" w:name="_Toc110830495"/>
      <w:bookmarkStart w:id="78" w:name="_Toc110761799"/>
      <w:bookmarkStart w:id="79" w:name="_Toc119402713"/>
      <w:bookmarkStart w:id="80" w:name="_Toc110765663"/>
      <w:bookmarkStart w:id="81" w:name="_Toc84234437"/>
      <w:bookmarkStart w:id="82" w:name="_Toc86727358"/>
      <w:bookmarkStart w:id="83" w:name="_Toc86204791"/>
      <w:bookmarkStart w:id="84" w:name="_Toc118972651"/>
      <w:bookmarkStart w:id="85" w:name="_Toc118212953"/>
      <w:bookmarkStart w:id="86" w:name="_Toc86225294"/>
      <w:bookmarkStart w:id="87" w:name="_Toc118774806"/>
      <w:bookmarkStart w:id="88" w:name="_Toc62934252"/>
      <w:r w:rsidRPr="005D3DFE">
        <w:rPr>
          <w:rFonts w:asciiTheme="minorEastAsia" w:eastAsiaTheme="minorEastAsia" w:hAnsiTheme="minorEastAsia" w:hint="eastAsia"/>
          <w:sz w:val="30"/>
        </w:rPr>
        <w:t>七、交易及清算交收安排</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A1702F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sz w:val="24"/>
        </w:rPr>
        <w:t>（</w:t>
      </w:r>
      <w:r>
        <w:rPr>
          <w:rFonts w:ascii="宋体" w:hAnsi="宋体" w:cs="Arial" w:hint="eastAsia"/>
          <w:kern w:val="0"/>
          <w:sz w:val="24"/>
        </w:rPr>
        <w:t>一）选择证券、期货买卖的证券、期货经营机构</w:t>
      </w:r>
    </w:p>
    <w:p w14:paraId="3FD95E1A" w14:textId="3AF054AD"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747642">
        <w:rPr>
          <w:rFonts w:ascii="宋体" w:hAnsi="宋体" w:cs="Arial" w:hint="eastAsia"/>
          <w:kern w:val="0"/>
          <w:sz w:val="24"/>
        </w:rPr>
        <w:t>中期</w:t>
      </w:r>
      <w:r>
        <w:rPr>
          <w:rFonts w:ascii="宋体" w:hAnsi="宋体" w:cs="Arial"/>
          <w:kern w:val="0"/>
          <w:sz w:val="24"/>
        </w:rPr>
        <w:t>报</w:t>
      </w:r>
      <w:r>
        <w:rPr>
          <w:rFonts w:ascii="宋体" w:hAnsi="宋体" w:cs="Arial" w:hint="eastAsia"/>
          <w:kern w:val="0"/>
          <w:sz w:val="24"/>
        </w:rPr>
        <w:t>告和年度报告中将所选证券经营机构的有关情况及交易信息予以披露，并将该等情况及基金交易单元号、佣金费率等基本信息以及变更情况及时以书面形式通知基金托管人。</w:t>
      </w:r>
    </w:p>
    <w:p w14:paraId="10FBD0E8" w14:textId="30ED4C7D"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基金管理人负责选择为本基金提供期货交易服务的期货经纪公司，并与其签订期货经纪合同。基金管理人、基金托管人和期货公司等</w:t>
      </w:r>
      <w:r w:rsidR="00747642">
        <w:rPr>
          <w:rFonts w:ascii="宋体" w:hAnsi="宋体" w:cs="Arial" w:hint="eastAsia"/>
          <w:kern w:val="0"/>
          <w:sz w:val="24"/>
        </w:rPr>
        <w:t>应</w:t>
      </w:r>
      <w:r>
        <w:rPr>
          <w:rFonts w:ascii="宋体" w:hAnsi="宋体" w:cs="Arial" w:hint="eastAsia"/>
          <w:kern w:val="0"/>
          <w:sz w:val="24"/>
        </w:rPr>
        <w:t>就基金参与股指期货交易的具体事项另行签订协议约定。</w:t>
      </w:r>
    </w:p>
    <w:p w14:paraId="278A165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（二）基金投资证券后的清算交收安排</w:t>
      </w:r>
    </w:p>
    <w:p w14:paraId="7788F5E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1.清算与交割</w:t>
      </w:r>
    </w:p>
    <w:p w14:paraId="5C4F86D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基金管理人与基金托管人应根据有关法律法规及相关业务规则，签订《托管银行证券资金结算协议》，用以具体明确基金管理人与基金托管人在证券交易资金结算业务中的责任。</w:t>
      </w:r>
    </w:p>
    <w:p w14:paraId="71F609E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6E7BF0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3989284" w14:textId="1A9C2783"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747642">
        <w:rPr>
          <w:rFonts w:ascii="宋体" w:hAnsi="宋体" w:cs="Arial" w:hint="eastAsia"/>
          <w:sz w:val="24"/>
        </w:rPr>
        <w:t>在预清算结束后</w:t>
      </w:r>
      <w:r w:rsidR="00747642" w:rsidRPr="005F7AE5">
        <w:rPr>
          <w:rFonts w:ascii="宋体" w:hAnsi="宋体" w:cs="Arial" w:hint="eastAsia"/>
          <w:sz w:val="24"/>
        </w:rPr>
        <w:t>应通知基金管理人</w:t>
      </w:r>
      <w:r w:rsidR="00747642">
        <w:rPr>
          <w:rFonts w:ascii="宋体" w:hAnsi="宋体" w:cs="Arial" w:hint="eastAsia"/>
          <w:sz w:val="24"/>
        </w:rPr>
        <w:t>预透支和预欠库事项，基金管理人应保持联系方式畅通，后续补缴等事宜</w:t>
      </w:r>
      <w:r>
        <w:rPr>
          <w:rFonts w:ascii="宋体" w:hAnsi="宋体" w:cs="Arial" w:hint="eastAsia"/>
          <w:kern w:val="0"/>
          <w:sz w:val="24"/>
        </w:rPr>
        <w:t>由基金管理人负责解决，由此给基金托管人、本基金和基金托管人托管的其他资产造成的直接损失由基金管理人承担。</w:t>
      </w:r>
    </w:p>
    <w:p w14:paraId="0F39880E" w14:textId="73A486BB"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基金管理人应采取合理、必要措施，确保T日日终有足够的资金头寸完成 T+1日</w:t>
      </w:r>
      <w:r w:rsidR="00747642" w:rsidRPr="005F7AE5">
        <w:rPr>
          <w:rFonts w:ascii="宋体" w:hAnsi="宋体" w:hint="eastAsia"/>
          <w:sz w:val="24"/>
        </w:rPr>
        <w:t>中国证券登记结算有限责任公司</w:t>
      </w:r>
      <w:r>
        <w:rPr>
          <w:rFonts w:ascii="宋体" w:hAnsi="宋体" w:cs="Arial" w:hint="eastAsia"/>
          <w:kern w:val="0"/>
          <w:sz w:val="24"/>
        </w:rPr>
        <w:t>的资金结算；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2D253A1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833006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实行场内T+0交收的资金清算按照基金托管人的相关规定流程执行。</w:t>
      </w:r>
    </w:p>
    <w:p w14:paraId="27A3BDD9"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2.交易记录、资金和证券账目核对的时间和方式</w:t>
      </w:r>
    </w:p>
    <w:p w14:paraId="4FB6F16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（1）交易记录的核对</w:t>
      </w:r>
    </w:p>
    <w:p w14:paraId="38586991" w14:textId="09D1B25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2D6B56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（2）资金账目的核对</w:t>
      </w:r>
    </w:p>
    <w:p w14:paraId="71F9B5B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资金账目由基金管理人与基金托管人按日核实。</w:t>
      </w:r>
    </w:p>
    <w:p w14:paraId="13BDE98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（3）证券账目的核对</w:t>
      </w:r>
    </w:p>
    <w:p w14:paraId="77B4C02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基金管理人和基金托管人每交易日结束后核对基金证券账目，确保双方账目相符。基金管理人和基金托管人每月月末核对实物证券账目。</w:t>
      </w:r>
    </w:p>
    <w:p w14:paraId="6C3D59E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（三）基金申购和赎回业务处理的基本规定</w:t>
      </w:r>
    </w:p>
    <w:p w14:paraId="08AF184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1.基金份额申购、赎回的确认、清算由基金管理人或其委托的登记机构负责。</w:t>
      </w:r>
    </w:p>
    <w:p w14:paraId="40437DD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8405CD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3.基金管理人应保证本基金（或本基金管理人委托）的登记机构每个工作日15:00前向基金托管人发送前一开放日上述有关数据，并保证相关数据的准确、完整。</w:t>
      </w:r>
    </w:p>
    <w:p w14:paraId="583701AB" w14:textId="17F8FD50"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4.登记机构应通过与基金托管人建立的加密系统发送有关数据，如因各种原因，该系统无法正常发送，双方可协商解决处理方式。基金管理人向基金托管人发送的数据，双方各自按有关规定保存。</w:t>
      </w:r>
    </w:p>
    <w:p w14:paraId="5147DB4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5.如基金管理人委托其他机构办理本基金的登记业务，应保证上述相关事宜按时进行。否则，由基金管理人承担相应的责任。</w:t>
      </w:r>
    </w:p>
    <w:p w14:paraId="4CB5258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6.关于清算专用账户的设立和管理</w:t>
      </w:r>
    </w:p>
    <w:p w14:paraId="5C6DEFA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为满足申购、赎回资金汇划的需要，由基金管理人开立资金清算的专用账户，该账户由登记机构管理。</w:t>
      </w:r>
    </w:p>
    <w:p w14:paraId="0090CA2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DA892E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8.赎回资金划拨规定</w:t>
      </w:r>
    </w:p>
    <w:p w14:paraId="5719C75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拨付赎回款时，如基金资金账户有足够的资金，基金托管人应按时拨付；因基金资金账户没有足够的资金，导致基金托管人不能按时拨付，如系基金管理人的原因造成，责任由基金管理人承担，基金托管人不承担垫款义务。</w:t>
      </w:r>
    </w:p>
    <w:p w14:paraId="13007AB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9.资金指令</w:t>
      </w:r>
    </w:p>
    <w:p w14:paraId="146FB357"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除申购款项到达基金资金账户需双方按约定方式对账外，回购到期付款和与投资有关的付款、赎回资金划拨时，基金管理人需向基金托管人下达指令。</w:t>
      </w:r>
    </w:p>
    <w:p w14:paraId="1C3FDEA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资金指令的格式、内容、发送、接收和确认方式等与投资指令相同。</w:t>
      </w:r>
    </w:p>
    <w:p w14:paraId="594E9D64"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（四）申赎净额结算</w:t>
      </w:r>
    </w:p>
    <w:p w14:paraId="37F8D98C" w14:textId="461A939E"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w:t>
      </w:r>
      <w:r w:rsidR="00280A98">
        <w:rPr>
          <w:rFonts w:ascii="宋体" w:hAnsi="宋体" w:cs="Arial" w:hint="eastAsia"/>
          <w:kern w:val="0"/>
          <w:sz w:val="24"/>
        </w:rPr>
        <w:t>到</w:t>
      </w:r>
      <w:r>
        <w:rPr>
          <w:rFonts w:ascii="宋体" w:hAnsi="宋体" w:cs="Arial" w:hint="eastAsia"/>
          <w:kern w:val="0"/>
          <w:sz w:val="24"/>
        </w:rPr>
        <w:t>基金托管账户；当存在托管账户净应付额时，</w:t>
      </w:r>
      <w:r w:rsidR="00280A98" w:rsidRPr="00280A98">
        <w:rPr>
          <w:rFonts w:ascii="宋体" w:hAnsi="宋体" w:cs="Arial" w:hint="eastAsia"/>
          <w:kern w:val="0"/>
          <w:sz w:val="24"/>
        </w:rPr>
        <w:t>基金管理人应在T日10：00前将划款指令发送给基金托管人，</w:t>
      </w:r>
      <w:r w:rsidRPr="00280A98">
        <w:rPr>
          <w:rFonts w:ascii="宋体" w:hAnsi="宋体" w:cs="Arial" w:hint="eastAsia"/>
          <w:kern w:val="0"/>
          <w:sz w:val="24"/>
        </w:rPr>
        <w:t>基</w:t>
      </w:r>
      <w:r>
        <w:rPr>
          <w:rFonts w:ascii="宋体" w:hAnsi="宋体" w:cs="Arial" w:hint="eastAsia"/>
          <w:kern w:val="0"/>
          <w:sz w:val="24"/>
        </w:rPr>
        <w:t>金托管人按基金管理人的划款指令将托管账户净应付额在T日15:00之前划往基金清算账户。</w:t>
      </w:r>
    </w:p>
    <w:p w14:paraId="60BEAFF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（五）基金转换</w:t>
      </w:r>
    </w:p>
    <w:p w14:paraId="5978B03B" w14:textId="6A6FB835" w:rsidR="00553A42" w:rsidRDefault="004629A4">
      <w:pPr>
        <w:widowControl/>
        <w:adjustRightInd w:val="0"/>
        <w:snapToGrid w:val="0"/>
        <w:spacing w:line="360" w:lineRule="auto"/>
        <w:ind w:firstLineChars="200" w:firstLine="480"/>
        <w:rPr>
          <w:rFonts w:ascii="宋体" w:hAnsi="宋体" w:cs="Arial"/>
          <w:kern w:val="0"/>
          <w:sz w:val="24"/>
        </w:rPr>
      </w:pPr>
      <w:r>
        <w:rPr>
          <w:rFonts w:ascii="宋体" w:hAnsi="宋体" w:cs="Arial"/>
          <w:kern w:val="0"/>
          <w:sz w:val="24"/>
        </w:rPr>
        <w:t>1</w:t>
      </w:r>
      <w:r w:rsidR="00827B77">
        <w:rPr>
          <w:rFonts w:ascii="宋体" w:hAnsi="宋体" w:cs="Arial" w:hint="eastAsia"/>
          <w:kern w:val="0"/>
          <w:sz w:val="24"/>
        </w:rPr>
        <w:t>.基金托管人将根据基金管理人传送的基金转换数据进行账务处理，具体资金清算和数据传递的时间、程序及托管协议当事人承担的权责按基金管理人届时的公告执行。</w:t>
      </w:r>
    </w:p>
    <w:p w14:paraId="060DB522" w14:textId="5AFACC27" w:rsidR="00553A42" w:rsidRDefault="004629A4">
      <w:pPr>
        <w:widowControl/>
        <w:adjustRightInd w:val="0"/>
        <w:snapToGrid w:val="0"/>
        <w:spacing w:line="360" w:lineRule="auto"/>
        <w:ind w:firstLineChars="200" w:firstLine="480"/>
        <w:rPr>
          <w:rFonts w:ascii="宋体" w:hAnsi="宋体" w:cs="Arial"/>
          <w:kern w:val="0"/>
          <w:sz w:val="24"/>
        </w:rPr>
      </w:pPr>
      <w:r>
        <w:rPr>
          <w:rFonts w:ascii="宋体" w:hAnsi="宋体" w:cs="Arial"/>
          <w:kern w:val="0"/>
          <w:sz w:val="24"/>
        </w:rPr>
        <w:t>2</w:t>
      </w:r>
      <w:r w:rsidR="00827B77">
        <w:rPr>
          <w:rFonts w:ascii="宋体" w:hAnsi="宋体" w:cs="Arial" w:hint="eastAsia"/>
          <w:kern w:val="0"/>
          <w:sz w:val="24"/>
        </w:rPr>
        <w:t>.本基金开展基金转换业务应按相关法律法规规定及《基金合同》的约定进行公告。</w:t>
      </w:r>
    </w:p>
    <w:p w14:paraId="0CA40BFB" w14:textId="77777777" w:rsidR="007C7409" w:rsidRPr="007C7409" w:rsidRDefault="007C7409" w:rsidP="007C7409">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（六）基金现金分红</w:t>
      </w:r>
    </w:p>
    <w:p w14:paraId="0C6C5C8D" w14:textId="08A0DA30" w:rsidR="007C7409" w:rsidRPr="007C7409" w:rsidRDefault="007C7409" w:rsidP="007C7409">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1.基金管理人确定分红方案通知基金托管人，双方核定后依照《信息披露办法》的有关规定在中国证监会</w:t>
      </w:r>
      <w:r w:rsidR="00895DD8">
        <w:rPr>
          <w:rFonts w:ascii="宋体" w:hAnsi="宋体" w:cs="Arial" w:hint="eastAsia"/>
          <w:kern w:val="0"/>
          <w:sz w:val="24"/>
        </w:rPr>
        <w:t>规</w:t>
      </w:r>
      <w:r w:rsidRPr="007C7409">
        <w:rPr>
          <w:rFonts w:ascii="宋体" w:hAnsi="宋体" w:cs="Arial" w:hint="eastAsia"/>
          <w:kern w:val="0"/>
          <w:sz w:val="24"/>
        </w:rPr>
        <w:t>定媒</w:t>
      </w:r>
      <w:r w:rsidR="00B100DC">
        <w:rPr>
          <w:rFonts w:ascii="宋体" w:hAnsi="宋体" w:cs="Arial" w:hint="eastAsia"/>
          <w:kern w:val="0"/>
          <w:sz w:val="24"/>
        </w:rPr>
        <w:t>介</w:t>
      </w:r>
      <w:r w:rsidRPr="007C7409">
        <w:rPr>
          <w:rFonts w:ascii="宋体" w:hAnsi="宋体" w:cs="Arial" w:hint="eastAsia"/>
          <w:kern w:val="0"/>
          <w:sz w:val="24"/>
        </w:rPr>
        <w:t>上公告。</w:t>
      </w:r>
    </w:p>
    <w:p w14:paraId="342741D3" w14:textId="77777777" w:rsidR="007C7409" w:rsidRPr="007C7409" w:rsidRDefault="007C7409" w:rsidP="007C7409">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2.基金托管人和基金管理人对基金分红进行账务处理并核对后，基金管理人向基金托管人发送现金红利的划款指令，基金托管人应及时将资金划入专用账户。</w:t>
      </w:r>
    </w:p>
    <w:p w14:paraId="611502C2" w14:textId="77777777" w:rsidR="007C7409" w:rsidRPr="007C7409" w:rsidRDefault="007C7409" w:rsidP="007C7409">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3.基金管理人在下达指令时，应给基金托管人留出必需的划款时间。</w:t>
      </w:r>
    </w:p>
    <w:p w14:paraId="7E17B4C6" w14:textId="77777777" w:rsidR="007C7409" w:rsidRPr="007C7409" w:rsidRDefault="007C7409" w:rsidP="007C7409">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（七）投资银行存款的特别约定</w:t>
      </w:r>
    </w:p>
    <w:p w14:paraId="6E7F0A23" w14:textId="1DDF2381" w:rsidR="007C7409" w:rsidRPr="007C7409" w:rsidRDefault="007C7409" w:rsidP="007C7409">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1.本基金投资银行存款前，基金管理人应与存款银行签订具体存款协议，包括但不限于以下内容：</w:t>
      </w:r>
    </w:p>
    <w:p w14:paraId="1AB4C472" w14:textId="77777777" w:rsidR="007C7409" w:rsidRPr="007C7409" w:rsidRDefault="007C7409" w:rsidP="007C7409">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（1）存款账户必须以本基金名义开立,并将基金托管人为本基金开立的基金银行账户指定为唯一回款账户，任何情况下，存款银行都不得将存款投资本息划往任何其他账户。</w:t>
      </w:r>
    </w:p>
    <w:p w14:paraId="23E11A44" w14:textId="77777777" w:rsidR="007C7409" w:rsidRPr="007C7409" w:rsidRDefault="007C7409" w:rsidP="007C7409">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（2）存款银行不得接受基金管理人或基金托管人任何一方单方面提出的对存款进行更名、转让、挂失、质押、担保、撤销、变更印鉴及回款账户信息等可能导致财产转移的操作申请。</w:t>
      </w:r>
    </w:p>
    <w:p w14:paraId="0DB955CF" w14:textId="77777777" w:rsidR="007C7409" w:rsidRPr="007C7409" w:rsidRDefault="007C7409" w:rsidP="007C7409">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lastRenderedPageBreak/>
        <w:t>（3）约定存款证实书的具体传递交接方式及交接期限。</w:t>
      </w:r>
    </w:p>
    <w:p w14:paraId="1A1D9508" w14:textId="77777777" w:rsidR="007C7409" w:rsidRPr="007C7409" w:rsidRDefault="007C7409" w:rsidP="007C7409">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（4）资金划转过程中需要使用存款银行过渡账户的，存款银行须保证资金在过渡账户中不出现滞留，不被挪用。</w:t>
      </w:r>
    </w:p>
    <w:p w14:paraId="7BEB1B89" w14:textId="77777777" w:rsidR="007C7409" w:rsidRPr="007C7409" w:rsidRDefault="007C7409" w:rsidP="007C7409">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58C497D" w14:textId="77777777" w:rsidR="007C7409" w:rsidRPr="007C7409" w:rsidRDefault="007C7409" w:rsidP="007C7409">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06D0F93F" w14:textId="0A193E7A" w:rsidR="00553A42" w:rsidRDefault="007C7409" w:rsidP="00291A2E">
      <w:pPr>
        <w:widowControl/>
        <w:adjustRightInd w:val="0"/>
        <w:snapToGrid w:val="0"/>
        <w:spacing w:line="360" w:lineRule="auto"/>
        <w:ind w:firstLineChars="200" w:firstLine="480"/>
        <w:rPr>
          <w:rFonts w:ascii="宋体" w:hAnsi="宋体" w:cs="Arial"/>
          <w:kern w:val="0"/>
          <w:sz w:val="24"/>
        </w:rPr>
      </w:pPr>
      <w:r w:rsidRPr="007C7409">
        <w:rPr>
          <w:rFonts w:ascii="宋体" w:hAnsi="宋体" w:cs="Arial" w:hint="eastAsia"/>
          <w:kern w:val="0"/>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7B6E0E77" w14:textId="77777777" w:rsidR="00553A42" w:rsidRDefault="00553A42" w:rsidP="006A5A85">
      <w:pPr>
        <w:pStyle w:val="2"/>
        <w:rPr>
          <w:rFonts w:ascii="彩虹粗仿宋" w:eastAsia="彩虹粗仿宋"/>
          <w:sz w:val="30"/>
        </w:rPr>
        <w:sectPr w:rsidR="00553A42">
          <w:headerReference w:type="default" r:id="rId11"/>
          <w:pgSz w:w="11906" w:h="16838"/>
          <w:pgMar w:top="1418" w:right="1701" w:bottom="1418" w:left="1701" w:header="851" w:footer="992" w:gutter="0"/>
          <w:cols w:space="425"/>
          <w:docGrid w:type="lines" w:linePitch="312"/>
        </w:sectPr>
      </w:pPr>
    </w:p>
    <w:p w14:paraId="482DDB19" w14:textId="77777777" w:rsidR="00553A42" w:rsidRPr="005D3DFE" w:rsidRDefault="00827B77">
      <w:pPr>
        <w:pStyle w:val="2"/>
        <w:jc w:val="center"/>
        <w:rPr>
          <w:rFonts w:asciiTheme="minorEastAsia" w:eastAsiaTheme="minorEastAsia" w:hAnsiTheme="minorEastAsia"/>
          <w:sz w:val="30"/>
        </w:rPr>
      </w:pPr>
      <w:bookmarkStart w:id="89" w:name="_Toc62934253"/>
      <w:r w:rsidRPr="005D3DFE">
        <w:rPr>
          <w:rFonts w:asciiTheme="minorEastAsia" w:eastAsiaTheme="minorEastAsia" w:hAnsiTheme="minorEastAsia" w:hint="eastAsia"/>
          <w:sz w:val="30"/>
        </w:rPr>
        <w:lastRenderedPageBreak/>
        <w:t>八、基金资产净值计算和会计核算</w:t>
      </w:r>
      <w:bookmarkEnd w:id="89"/>
    </w:p>
    <w:p w14:paraId="223B2F44"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（一）基金资产净值的计算、复核与完成的时间及程序</w:t>
      </w:r>
    </w:p>
    <w:p w14:paraId="53910DB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基金资产净值是指基金资产总值减去负债后的金额。各类基金份额净值是按照每个工作日闭市后，该类基金资产净值除以当日该类基金份额的余额数量计算，精确到0.001元，小数点后第四位四舍五入。国家另有规定的，从其规定。</w:t>
      </w:r>
    </w:p>
    <w:p w14:paraId="7EC8AA74"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基金管理人于每个工作日计算基金资产净值及各类基金份额的基金份额净值，并按规定公告。</w:t>
      </w:r>
    </w:p>
    <w:p w14:paraId="73401714"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按规定对外公布。</w:t>
      </w:r>
    </w:p>
    <w:p w14:paraId="7CC24CA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（二）基金资产估值方法和特殊情形的处理</w:t>
      </w:r>
    </w:p>
    <w:p w14:paraId="4504972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1.估值对象</w:t>
      </w:r>
    </w:p>
    <w:p w14:paraId="5C26F12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基金所拥有的股票、衍生工具、债券和银行存款本息、应收款项、其它投资等资产及负债。</w:t>
      </w:r>
    </w:p>
    <w:p w14:paraId="5CFE646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2.估值方法</w:t>
      </w:r>
    </w:p>
    <w:p w14:paraId="265E60D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hint="eastAsia"/>
          <w:bCs/>
          <w:sz w:val="24"/>
        </w:rPr>
        <w:t>（1）证券交易所上市的有价证券的估值</w:t>
      </w:r>
    </w:p>
    <w:p w14:paraId="0DB6E6E3" w14:textId="77777777" w:rsidR="00553A42" w:rsidRDefault="00827B77">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CC45BD2" w14:textId="77777777" w:rsidR="00553A42" w:rsidRDefault="00827B77">
      <w:pPr>
        <w:spacing w:line="360" w:lineRule="auto"/>
        <w:ind w:firstLineChars="200" w:firstLine="480"/>
        <w:rPr>
          <w:rFonts w:ascii="宋体" w:hAnsi="宋体"/>
          <w:bCs/>
          <w:sz w:val="24"/>
        </w:rPr>
      </w:pPr>
      <w:r>
        <w:rPr>
          <w:rFonts w:ascii="宋体" w:hAnsi="宋体"/>
          <w:bCs/>
          <w:sz w:val="24"/>
        </w:rPr>
        <w:t>2</w:t>
      </w:r>
      <w:r>
        <w:rPr>
          <w:rFonts w:ascii="宋体" w:hAnsi="宋体" w:hint="eastAsia"/>
          <w:bCs/>
          <w:sz w:val="24"/>
        </w:rPr>
        <w:t>）交易所上市实行净价交易的债券按估值日收盘价或第三方估值机构提供的相应品种当日的估值净价估值，估值日没有交易的，且最近交易日后经济环境未发生重大变化，按最近交易日的收盘价或第三方估值机构提供的相应品种当日的估值净价估值。如最近交易日后经济环境发生了重大变化的，可参考类似投资品种的现行市价及重大变化因素，调整最近交易市价，确定公允价格；</w:t>
      </w:r>
    </w:p>
    <w:p w14:paraId="54035A75" w14:textId="3910784A" w:rsidR="00553A42" w:rsidRDefault="00827B77">
      <w:pPr>
        <w:spacing w:line="360" w:lineRule="auto"/>
        <w:ind w:firstLineChars="200" w:firstLine="480"/>
        <w:rPr>
          <w:rFonts w:ascii="宋体" w:hAnsi="宋体"/>
          <w:bCs/>
          <w:sz w:val="24"/>
        </w:rPr>
      </w:pPr>
      <w:r>
        <w:rPr>
          <w:rFonts w:ascii="宋体" w:hAnsi="宋体"/>
          <w:bCs/>
          <w:sz w:val="24"/>
        </w:rPr>
        <w:t>3</w:t>
      </w:r>
      <w:r>
        <w:rPr>
          <w:rFonts w:ascii="宋体" w:hAnsi="宋体" w:hint="eastAsia"/>
          <w:bCs/>
          <w:sz w:val="24"/>
        </w:rPr>
        <w:t>）交易所上市未实行净价交易的债券按估值日收盘价或第三方估值机构提供</w:t>
      </w:r>
      <w:r>
        <w:rPr>
          <w:rFonts w:ascii="宋体" w:hAnsi="宋体" w:hint="eastAsia"/>
          <w:bCs/>
          <w:sz w:val="24"/>
        </w:rPr>
        <w:lastRenderedPageBreak/>
        <w:t>的相应品种当日的估值全价减去债券收盘价或估值全价中所含的债券应收利息</w:t>
      </w:r>
      <w:r w:rsidR="00D16374">
        <w:rPr>
          <w:rFonts w:ascii="宋体" w:hAnsi="宋体" w:hint="eastAsia"/>
          <w:bCs/>
          <w:sz w:val="24"/>
        </w:rPr>
        <w:t>（税后）</w:t>
      </w:r>
      <w:r>
        <w:rPr>
          <w:rFonts w:ascii="宋体" w:hAnsi="宋体" w:hint="eastAsia"/>
          <w:bCs/>
          <w:sz w:val="24"/>
        </w:rPr>
        <w:t>得到的净价进行估值；估值日没有交易的，且最近交易日后经济环境未发生重大变化，按最近交易日债券收盘价或第三方估值机构提供的相应品种当日的估值全价减去债券收盘价或估值全价中所含的债券应收利息</w:t>
      </w:r>
      <w:r w:rsidR="00D16374">
        <w:rPr>
          <w:rFonts w:ascii="宋体" w:hAnsi="宋体" w:hint="eastAsia"/>
          <w:bCs/>
          <w:sz w:val="24"/>
        </w:rPr>
        <w:t>（税后）</w:t>
      </w:r>
      <w:r>
        <w:rPr>
          <w:rFonts w:ascii="宋体" w:hAnsi="宋体" w:hint="eastAsia"/>
          <w:bCs/>
          <w:sz w:val="24"/>
        </w:rPr>
        <w:t>得到的净价进行估值。如最近交易日后经济环境发生了重大变化的，可参考类似投资品种的现行市价及重大变化因素，调整最近交易市价，确定公允价格；</w:t>
      </w:r>
    </w:p>
    <w:p w14:paraId="51078210" w14:textId="20B770FD" w:rsidR="00D16374" w:rsidRDefault="00827B77" w:rsidP="00D16374">
      <w:pPr>
        <w:spacing w:line="360" w:lineRule="auto"/>
        <w:ind w:firstLineChars="200" w:firstLine="480"/>
        <w:rPr>
          <w:rFonts w:ascii="宋体" w:hAnsi="宋体"/>
          <w:bCs/>
          <w:sz w:val="24"/>
        </w:rPr>
      </w:pPr>
      <w:r>
        <w:rPr>
          <w:rFonts w:ascii="宋体" w:hAnsi="宋体"/>
          <w:bCs/>
          <w:sz w:val="24"/>
        </w:rPr>
        <w:t>4</w:t>
      </w:r>
      <w:r>
        <w:rPr>
          <w:rFonts w:ascii="宋体" w:hAnsi="宋体" w:hint="eastAsia"/>
          <w:bCs/>
          <w:sz w:val="24"/>
        </w:rPr>
        <w:t>）交易所上市不存在活跃市场的有价证券，采用估值技术确定公允价值。交易所上市的资产支持证券，采用估值技术确定公允价值，在估值技术难以可靠计量公允价值的情况下，按成本估值。</w:t>
      </w:r>
      <w:r w:rsidR="00D16374">
        <w:rPr>
          <w:rFonts w:ascii="宋体" w:hAnsi="宋体" w:hint="eastAsia"/>
          <w:bCs/>
          <w:sz w:val="24"/>
        </w:rPr>
        <w:t>5</w:t>
      </w:r>
      <w:r w:rsidR="00D16374" w:rsidRPr="00462876">
        <w:rPr>
          <w:rFonts w:ascii="宋体" w:hAnsi="宋体"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1555C85" w14:textId="7E8D57A1" w:rsidR="00553A42" w:rsidRDefault="00827B77">
      <w:pPr>
        <w:spacing w:line="360" w:lineRule="auto"/>
        <w:ind w:firstLineChars="200" w:firstLine="480"/>
        <w:rPr>
          <w:rFonts w:ascii="宋体" w:hAnsi="宋体"/>
          <w:bCs/>
          <w:sz w:val="24"/>
        </w:rPr>
      </w:pPr>
      <w:r>
        <w:rPr>
          <w:rFonts w:ascii="宋体" w:hAnsi="宋体" w:hint="eastAsia"/>
          <w:bCs/>
          <w:sz w:val="24"/>
        </w:rPr>
        <w:t>（2）</w:t>
      </w:r>
      <w:r>
        <w:rPr>
          <w:rFonts w:ascii="宋体" w:hAnsi="宋体"/>
          <w:bCs/>
          <w:sz w:val="24"/>
        </w:rPr>
        <w:t>处于未上市期间的有价证券应区分如下情况处理：</w:t>
      </w:r>
    </w:p>
    <w:p w14:paraId="12CB0734" w14:textId="77777777" w:rsidR="00553A42" w:rsidRDefault="00827B77">
      <w:pPr>
        <w:spacing w:line="360" w:lineRule="auto"/>
        <w:ind w:firstLineChars="200" w:firstLine="480"/>
        <w:rPr>
          <w:rFonts w:ascii="宋体" w:hAnsi="宋体"/>
          <w:bCs/>
          <w:sz w:val="24"/>
        </w:rPr>
      </w:pPr>
      <w:r>
        <w:rPr>
          <w:rFonts w:ascii="宋体" w:hAnsi="宋体"/>
          <w:bCs/>
          <w:sz w:val="24"/>
        </w:rPr>
        <w:t>1）送股、转增股、配股和公开增发的新股，按估值日在证券交易所挂牌的同一股票的估值方法估值；该日无交易的，以最近一日的市价（收盘价）估值；</w:t>
      </w:r>
    </w:p>
    <w:p w14:paraId="11E001CD" w14:textId="77777777" w:rsidR="00553A42" w:rsidRDefault="00827B77">
      <w:pPr>
        <w:spacing w:line="360" w:lineRule="auto"/>
        <w:ind w:firstLineChars="200" w:firstLine="480"/>
        <w:rPr>
          <w:rFonts w:ascii="宋体" w:hAnsi="宋体"/>
          <w:bCs/>
          <w:sz w:val="24"/>
        </w:rPr>
      </w:pPr>
      <w:r>
        <w:rPr>
          <w:rFonts w:ascii="宋体" w:hAnsi="宋体"/>
          <w:bCs/>
          <w:sz w:val="24"/>
        </w:rPr>
        <w:t>2）首次公开发行未上市的股票、债券和权证，采用估值技术确定公允价值，在估值技术难以可靠计量公允价值的情况下，按成本估值</w:t>
      </w:r>
      <w:r>
        <w:rPr>
          <w:rFonts w:ascii="宋体" w:hAnsi="宋体" w:hint="eastAsia"/>
          <w:bCs/>
          <w:sz w:val="24"/>
        </w:rPr>
        <w:t>；</w:t>
      </w:r>
    </w:p>
    <w:p w14:paraId="59B1D9E2" w14:textId="38764D16" w:rsidR="00553A42" w:rsidRDefault="00827B77">
      <w:pPr>
        <w:spacing w:line="360" w:lineRule="auto"/>
        <w:ind w:firstLineChars="200" w:firstLine="480"/>
        <w:rPr>
          <w:rFonts w:ascii="宋体" w:hAnsi="宋体"/>
          <w:bCs/>
          <w:sz w:val="24"/>
        </w:rPr>
      </w:pPr>
      <w:r>
        <w:rPr>
          <w:rFonts w:ascii="宋体" w:hAnsi="宋体"/>
          <w:bCs/>
          <w:sz w:val="24"/>
        </w:rPr>
        <w:t>3）</w:t>
      </w:r>
      <w:r w:rsidR="00D16374">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rFonts w:ascii="宋体" w:hAnsi="宋体"/>
          <w:bCs/>
          <w:sz w:val="24"/>
        </w:rPr>
        <w:t>，按监管机构或行业协会有关规定确定公允价值。</w:t>
      </w:r>
    </w:p>
    <w:p w14:paraId="170086B9" w14:textId="77777777" w:rsidR="00553A42" w:rsidRDefault="00827B77">
      <w:pPr>
        <w:spacing w:line="360" w:lineRule="auto"/>
        <w:ind w:firstLineChars="200" w:firstLine="480"/>
        <w:rPr>
          <w:rFonts w:ascii="宋体" w:hAnsi="宋体"/>
          <w:bCs/>
          <w:sz w:val="24"/>
        </w:rPr>
      </w:pPr>
      <w:r>
        <w:rPr>
          <w:rFonts w:ascii="宋体" w:hAnsi="宋体" w:hint="eastAsia"/>
          <w:bCs/>
          <w:sz w:val="24"/>
        </w:rPr>
        <w:t>（3）</w:t>
      </w:r>
      <w:r>
        <w:rPr>
          <w:rFonts w:ascii="宋体" w:hAnsi="宋体"/>
          <w:bCs/>
          <w:sz w:val="24"/>
        </w:rPr>
        <w:t>全国银行间债券市场交易的债券、资产支持证券等固定收益品种，采用估值技术确定公允价值。</w:t>
      </w:r>
    </w:p>
    <w:p w14:paraId="0A3D35F6" w14:textId="77777777" w:rsidR="00553A42" w:rsidRDefault="00827B77">
      <w:pPr>
        <w:spacing w:line="360" w:lineRule="auto"/>
        <w:ind w:firstLineChars="200" w:firstLine="480"/>
        <w:rPr>
          <w:rFonts w:ascii="宋体" w:hAnsi="宋体"/>
          <w:bCs/>
          <w:sz w:val="24"/>
        </w:rPr>
      </w:pPr>
      <w:r>
        <w:rPr>
          <w:rFonts w:ascii="宋体" w:hAnsi="宋体" w:hint="eastAsia"/>
          <w:bCs/>
          <w:sz w:val="24"/>
        </w:rPr>
        <w:t>（4）</w:t>
      </w:r>
      <w:r>
        <w:rPr>
          <w:rFonts w:ascii="宋体" w:hAnsi="宋体"/>
          <w:bCs/>
          <w:sz w:val="24"/>
        </w:rPr>
        <w:t>本基金投资股指期货合约，一般以估值当日结算价进行估值，估值当日无结算价的，且最近交易日后经济环境未发生重大变化的，采用最近交易日结算价估值。</w:t>
      </w:r>
    </w:p>
    <w:p w14:paraId="694BCE2B" w14:textId="77777777" w:rsidR="00553A42" w:rsidRDefault="00827B77">
      <w:pPr>
        <w:spacing w:line="360" w:lineRule="auto"/>
        <w:ind w:firstLineChars="200" w:firstLine="480"/>
        <w:rPr>
          <w:rFonts w:ascii="宋体" w:hAnsi="宋体"/>
          <w:bCs/>
          <w:sz w:val="24"/>
        </w:rPr>
      </w:pPr>
      <w:r>
        <w:rPr>
          <w:rFonts w:ascii="宋体" w:hAnsi="宋体" w:hint="eastAsia"/>
          <w:bCs/>
          <w:sz w:val="24"/>
        </w:rPr>
        <w:t>（5）私募债券，采用估值技术确定公允价值，在估值技术难以可靠计量公允价值的情况下，按成本估值。</w:t>
      </w:r>
    </w:p>
    <w:p w14:paraId="1C31437B" w14:textId="77777777" w:rsidR="00553A42" w:rsidRDefault="00827B77">
      <w:pPr>
        <w:spacing w:line="360" w:lineRule="auto"/>
        <w:ind w:firstLineChars="200" w:firstLine="480"/>
        <w:rPr>
          <w:rFonts w:ascii="宋体" w:hAnsi="宋体"/>
          <w:bCs/>
          <w:sz w:val="24"/>
        </w:rPr>
      </w:pPr>
      <w:r>
        <w:rPr>
          <w:rFonts w:ascii="宋体" w:hAnsi="宋体" w:hint="eastAsia"/>
          <w:bCs/>
          <w:sz w:val="24"/>
        </w:rPr>
        <w:t>（6）</w:t>
      </w:r>
      <w:r>
        <w:rPr>
          <w:bCs/>
          <w:sz w:val="24"/>
        </w:rPr>
        <w:t>如有充足理由认为按上述方法进行估值不能客观反映其公允价值的，基</w:t>
      </w:r>
      <w:r>
        <w:rPr>
          <w:bCs/>
          <w:sz w:val="24"/>
        </w:rPr>
        <w:lastRenderedPageBreak/>
        <w:t>金管理人可根据具体情况与基金托管人商定后，按最能反映公允价值的价格估值。</w:t>
      </w:r>
    </w:p>
    <w:p w14:paraId="28F682D4" w14:textId="77777777" w:rsidR="00553A42" w:rsidRDefault="00827B77">
      <w:pPr>
        <w:spacing w:line="360" w:lineRule="auto"/>
        <w:ind w:firstLineChars="200" w:firstLine="480"/>
        <w:rPr>
          <w:rFonts w:ascii="宋体" w:hAnsi="宋体"/>
          <w:bCs/>
          <w:sz w:val="24"/>
        </w:rPr>
      </w:pPr>
      <w:r>
        <w:rPr>
          <w:rFonts w:ascii="宋体" w:hAnsi="宋体" w:hint="eastAsia"/>
          <w:bCs/>
          <w:sz w:val="24"/>
        </w:rPr>
        <w:t>（7）当本基金发生大额申购或赎回情形时，基金管理人可在履行适当程序后，采用摆动定价机制，以确保基金估值的公平性。</w:t>
      </w:r>
    </w:p>
    <w:p w14:paraId="1405BAE3" w14:textId="77777777" w:rsidR="00553A42" w:rsidRDefault="00827B77">
      <w:pPr>
        <w:spacing w:line="360" w:lineRule="auto"/>
        <w:ind w:firstLineChars="200" w:firstLine="480"/>
        <w:rPr>
          <w:bCs/>
          <w:sz w:val="24"/>
        </w:rPr>
      </w:pPr>
      <w:r>
        <w:rPr>
          <w:rFonts w:ascii="宋体" w:hAnsi="宋体" w:hint="eastAsia"/>
          <w:bCs/>
          <w:sz w:val="24"/>
        </w:rPr>
        <w:t>（8）</w:t>
      </w:r>
      <w:r>
        <w:rPr>
          <w:rFonts w:ascii="宋体" w:hAnsi="宋体"/>
          <w:bCs/>
          <w:sz w:val="24"/>
        </w:rPr>
        <w:t>存</w:t>
      </w:r>
      <w:r>
        <w:rPr>
          <w:bCs/>
          <w:sz w:val="24"/>
        </w:rPr>
        <w:t>在相关法律法规以及监管部门有相关规范且适用于本基金的，从其规定。如有新增事项，按国家最新规定估值。</w:t>
      </w:r>
    </w:p>
    <w:p w14:paraId="3ADF4EF6" w14:textId="77777777" w:rsidR="00553A42" w:rsidRDefault="00827B77">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3E50B8F" w14:textId="77777777" w:rsidR="00553A42" w:rsidRDefault="00827B77">
      <w:pPr>
        <w:spacing w:line="360" w:lineRule="auto"/>
        <w:ind w:firstLineChars="200" w:firstLine="480"/>
        <w:rPr>
          <w:rFonts w:ascii="宋体" w:hAnsi="宋体"/>
          <w:bCs/>
          <w:sz w:val="24"/>
        </w:rPr>
      </w:pPr>
      <w:r>
        <w:rPr>
          <w:rFonts w:hint="eastAsia"/>
          <w:bCs/>
          <w:sz w:val="24"/>
        </w:rPr>
        <w:t>根据有关法律法规，基金</w:t>
      </w:r>
      <w:r>
        <w:rPr>
          <w:rFonts w:ascii="宋体" w:hAnsi="宋体" w:cs="Arial" w:hint="eastAsia"/>
          <w:kern w:val="0"/>
          <w:sz w:val="24"/>
        </w:rPr>
        <w:t>资产净值计算和基金会计核算的义务由基金管理人承担。本基金的基金会计责任方由基金管理人担任，因此，就与本基金有关的会计问题，如经相</w:t>
      </w:r>
      <w:r>
        <w:rPr>
          <w:rFonts w:ascii="宋体" w:hAnsi="宋体" w:hint="eastAsia"/>
          <w:bCs/>
          <w:sz w:val="24"/>
        </w:rPr>
        <w:t>关各方在平等基础上充分讨论后，仍无法达成一致意见的，按照基金管理人对基金资产净值的计算结果对外予以公布。</w:t>
      </w:r>
    </w:p>
    <w:p w14:paraId="24F93EC6" w14:textId="77777777" w:rsidR="00553A42" w:rsidRDefault="00827B77">
      <w:pPr>
        <w:spacing w:line="360" w:lineRule="auto"/>
        <w:ind w:firstLineChars="200" w:firstLine="480"/>
        <w:rPr>
          <w:rFonts w:ascii="宋体" w:hAnsi="宋体"/>
          <w:bCs/>
          <w:sz w:val="24"/>
        </w:rPr>
      </w:pPr>
      <w:r>
        <w:rPr>
          <w:rFonts w:ascii="宋体" w:hAnsi="宋体" w:hint="eastAsia"/>
          <w:bCs/>
          <w:sz w:val="24"/>
        </w:rPr>
        <w:t>3.特殊情形的处理</w:t>
      </w:r>
    </w:p>
    <w:p w14:paraId="08E9F2E5" w14:textId="77777777" w:rsidR="00553A42" w:rsidRDefault="00827B77">
      <w:pPr>
        <w:spacing w:line="360" w:lineRule="auto"/>
        <w:ind w:firstLineChars="200" w:firstLine="480"/>
        <w:rPr>
          <w:rFonts w:ascii="宋体" w:hAnsi="宋体" w:cs="Arial"/>
          <w:kern w:val="0"/>
          <w:sz w:val="24"/>
        </w:rPr>
      </w:pPr>
      <w:r>
        <w:rPr>
          <w:rFonts w:ascii="宋体" w:hAnsi="宋体" w:hint="eastAsia"/>
          <w:bCs/>
          <w:sz w:val="24"/>
        </w:rPr>
        <w:t>基金管理人、基金托管人按估值方法的第（6）项进</w:t>
      </w:r>
      <w:r>
        <w:rPr>
          <w:rFonts w:ascii="宋体" w:hAnsi="宋体" w:hint="eastAsia"/>
          <w:kern w:val="0"/>
          <w:sz w:val="24"/>
        </w:rPr>
        <w:t>行估值时，所造成的误差不作为</w:t>
      </w:r>
      <w:r>
        <w:rPr>
          <w:rFonts w:ascii="宋体" w:hAnsi="宋体" w:cs="Arial" w:hint="eastAsia"/>
          <w:kern w:val="0"/>
          <w:sz w:val="24"/>
        </w:rPr>
        <w:t>基金资产估值错误处理。</w:t>
      </w:r>
    </w:p>
    <w:p w14:paraId="1218012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（三）基金份额净值错误的处理方式</w:t>
      </w:r>
    </w:p>
    <w:p w14:paraId="3DF1E7D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w:t>
      </w:r>
      <w:r>
        <w:rPr>
          <w:rFonts w:ascii="宋体" w:hAnsi="宋体" w:hint="eastAsia"/>
          <w:bCs/>
          <w:sz w:val="24"/>
          <w:szCs w:val="20"/>
        </w:rPr>
        <w:t>错误偏差达到该类基金份额净值的</w:t>
      </w:r>
      <w:r>
        <w:rPr>
          <w:rFonts w:ascii="宋体" w:hAnsi="宋体"/>
          <w:bCs/>
          <w:sz w:val="24"/>
          <w:szCs w:val="20"/>
        </w:rPr>
        <w:t>0.25%</w:t>
      </w:r>
      <w:r>
        <w:rPr>
          <w:rFonts w:ascii="宋体" w:hAnsi="宋体" w:hint="eastAsia"/>
          <w:bCs/>
          <w:sz w:val="24"/>
          <w:szCs w:val="20"/>
        </w:rPr>
        <w:t>时，基金管理人应当通报基金托管人；错误偏差达到该类基金份额净值的</w:t>
      </w:r>
      <w:r>
        <w:rPr>
          <w:rFonts w:ascii="宋体" w:hAnsi="宋体"/>
          <w:bCs/>
          <w:sz w:val="24"/>
          <w:szCs w:val="20"/>
        </w:rPr>
        <w:t>0.5%</w:t>
      </w:r>
      <w:r>
        <w:rPr>
          <w:rFonts w:ascii="宋体" w:hAnsi="宋体" w:hint="eastAsia"/>
          <w:bCs/>
          <w:sz w:val="24"/>
          <w:szCs w:val="20"/>
        </w:rPr>
        <w:t>时，基金管理人应当公告，并报中国证监会备案</w:t>
      </w:r>
      <w:r>
        <w:rPr>
          <w:rFonts w:ascii="宋体" w:hAnsi="宋体" w:cs="Arial" w:hint="eastAsia"/>
          <w:kern w:val="0"/>
          <w:sz w:val="24"/>
        </w:rPr>
        <w:t>；当发生净值计算错误时，由基金管理人负责处理，由此给基金份额持有人和基金造成损失的，应由基金管理人先行赔付，基金管理人按差错情形，有权向其他当事人追偿。</w:t>
      </w:r>
    </w:p>
    <w:p w14:paraId="04585B2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2.当基金份额净值计算差错给基金和基金份额持有人造成损失需要进行赔偿时，基金管理人和基金托管人应根据实际情况界定双方承担的责任，经确认后按以下条款进行赔偿：</w:t>
      </w:r>
    </w:p>
    <w:p w14:paraId="4CACDF06"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EF4C17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EAE0B3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F0AD1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(4)由于基金管理人提供的信息错误（包括但不限于基金申购或赎回金额等），进而导致基金份额净值计算错误而引起的基金份额持有人和基金财产的损失，由基金管理人负责赔付。</w:t>
      </w:r>
    </w:p>
    <w:p w14:paraId="5D2D5E70" w14:textId="2D782128"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3.由于不可抗力原因，或证券、期货交易所及登记结算公司发送的数据错误等，基金管理人和基金托管人虽然已经采取必要、适当、合理的措施进行检查，但是未能发现该错误而造成的基金</w:t>
      </w:r>
      <w:r w:rsidR="0049298C">
        <w:rPr>
          <w:rFonts w:ascii="宋体" w:hAnsi="宋体" w:cs="Arial" w:hint="eastAsia"/>
          <w:kern w:val="0"/>
          <w:sz w:val="24"/>
        </w:rPr>
        <w:t>份额净值计算</w:t>
      </w:r>
      <w:r>
        <w:rPr>
          <w:rFonts w:ascii="宋体" w:hAnsi="宋体" w:cs="Arial" w:hint="eastAsia"/>
          <w:kern w:val="0"/>
          <w:sz w:val="24"/>
        </w:rPr>
        <w:t>错误，基金管理人、基金托管人免除赔偿责任。但基金管理人、基金托管人应积极采取必要的措施消除或减轻由此造成的影响。</w:t>
      </w:r>
    </w:p>
    <w:p w14:paraId="308CDE0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4.基金管理人和基金托管人由于各自技术系统设置而产生的净值计算尾差，以基金管理人计算结果为准。</w:t>
      </w:r>
    </w:p>
    <w:p w14:paraId="272EAF9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5.前述内容如法律法规或者监管部门另有规定的，从其规定。如果行业另有通行做法，双方当事人应本着平等和保护基金份额持有人利益的原则进行协商。</w:t>
      </w:r>
    </w:p>
    <w:p w14:paraId="4513607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（四）暂停估值与公告基金份额净值的情形</w:t>
      </w:r>
    </w:p>
    <w:p w14:paraId="1369886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1.基金投资所涉及的证券、期货交易市场遇法定节假日或因其他原因暂停营业时；</w:t>
      </w:r>
    </w:p>
    <w:p w14:paraId="52A3C8D0"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2.因不可抗力致使基金管理人、基金托管人无法准确评估基金资产价值时；</w:t>
      </w:r>
    </w:p>
    <w:p w14:paraId="705BC022" w14:textId="77777777" w:rsidR="00553A42" w:rsidRDefault="00827B77">
      <w:pPr>
        <w:spacing w:line="360" w:lineRule="auto"/>
        <w:ind w:firstLineChars="200" w:firstLine="480"/>
        <w:rPr>
          <w:bCs/>
          <w:sz w:val="24"/>
        </w:rPr>
      </w:pPr>
      <w:r>
        <w:rPr>
          <w:rFonts w:ascii="宋体" w:hAnsi="宋体" w:cs="Arial" w:hint="eastAsia"/>
          <w:kern w:val="0"/>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以上的资产出现无可参考的活跃市场价格且采用估值技术仍导致公允价值存在重大不确定性时，经与基金托管人协商一致的，基金管理人应当暂停估值；</w:t>
      </w:r>
    </w:p>
    <w:p w14:paraId="0AE6B9C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hint="eastAsia"/>
          <w:bCs/>
          <w:sz w:val="24"/>
        </w:rPr>
        <w:t>4</w:t>
      </w:r>
      <w:r>
        <w:rPr>
          <w:rFonts w:ascii="宋体" w:hAnsi="宋体" w:cs="Arial" w:hint="eastAsia"/>
          <w:kern w:val="0"/>
          <w:sz w:val="24"/>
        </w:rPr>
        <w:t>.中国证监会和《基金合同》认定的其他情形。</w:t>
      </w:r>
    </w:p>
    <w:p w14:paraId="50712669"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（五）基金会计制度</w:t>
      </w:r>
    </w:p>
    <w:p w14:paraId="1FDB694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按国家有关部门规定的会计制度执行。</w:t>
      </w:r>
    </w:p>
    <w:p w14:paraId="3F63A309"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（六）基金账册的建立</w:t>
      </w:r>
    </w:p>
    <w:p w14:paraId="6C7277F8" w14:textId="749CBF0A"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w:t>
      </w:r>
      <w:r w:rsidR="0049298C">
        <w:rPr>
          <w:rFonts w:ascii="宋体" w:hAnsi="宋体" w:cs="Arial" w:hint="eastAsia"/>
          <w:kern w:val="0"/>
          <w:sz w:val="24"/>
        </w:rPr>
        <w:t>基金净值信息</w:t>
      </w:r>
      <w:r>
        <w:rPr>
          <w:rFonts w:ascii="宋体" w:hAnsi="宋体" w:cs="Arial" w:hint="eastAsia"/>
          <w:kern w:val="0"/>
          <w:sz w:val="24"/>
        </w:rPr>
        <w:t>的计算和公告的，以基金管理人的账册为准。</w:t>
      </w:r>
    </w:p>
    <w:p w14:paraId="7E714DE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（七）基金财务报表与报告的编制和复核</w:t>
      </w:r>
    </w:p>
    <w:p w14:paraId="5BC70EB4"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1.财务报表的编制</w:t>
      </w:r>
    </w:p>
    <w:p w14:paraId="7E8C039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基金财务报表由基金管理人编制，基金托管人复核。</w:t>
      </w:r>
    </w:p>
    <w:p w14:paraId="5C73209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2.报表复核</w:t>
      </w:r>
    </w:p>
    <w:p w14:paraId="47B5D4D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基金托管人在收到基金管理人编制的基金财务报表后，进行独立的复核。核对不符时，应及时通知基金管理人共同查出原因，进行调整，直至双方数据完全一致。</w:t>
      </w:r>
    </w:p>
    <w:p w14:paraId="25B3E8D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3.财务报表的编制与复核时间安排</w:t>
      </w:r>
    </w:p>
    <w:p w14:paraId="01F96A8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(1)报表的编制</w:t>
      </w:r>
    </w:p>
    <w:p w14:paraId="5878D419" w14:textId="56E6B41D"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基金管理人应当在每月结束后5个工作日内完成月度报表的编制；在每个季度结束之日起15个工作日内完成基金季度报告的编制；在上半年结束之日起</w:t>
      </w:r>
      <w:r w:rsidR="0049298C">
        <w:rPr>
          <w:rFonts w:ascii="宋体" w:hAnsi="宋体" w:cs="Arial" w:hint="eastAsia"/>
          <w:kern w:val="0"/>
          <w:sz w:val="24"/>
        </w:rPr>
        <w:t>两个月</w:t>
      </w:r>
      <w:r>
        <w:rPr>
          <w:rFonts w:ascii="宋体" w:hAnsi="宋体" w:cs="Arial" w:hint="eastAsia"/>
          <w:kern w:val="0"/>
          <w:sz w:val="24"/>
        </w:rPr>
        <w:t>内完成基金</w:t>
      </w:r>
      <w:r w:rsidR="00747642">
        <w:rPr>
          <w:rFonts w:ascii="宋体" w:hAnsi="宋体" w:cs="Arial" w:hint="eastAsia"/>
          <w:kern w:val="0"/>
          <w:sz w:val="24"/>
        </w:rPr>
        <w:t>中期</w:t>
      </w:r>
      <w:r>
        <w:rPr>
          <w:rFonts w:ascii="宋体" w:hAnsi="宋体" w:cs="Arial"/>
          <w:kern w:val="0"/>
          <w:sz w:val="24"/>
        </w:rPr>
        <w:t>报</w:t>
      </w:r>
      <w:r>
        <w:rPr>
          <w:rFonts w:ascii="宋体" w:hAnsi="宋体" w:cs="Arial" w:hint="eastAsia"/>
          <w:kern w:val="0"/>
          <w:sz w:val="24"/>
        </w:rPr>
        <w:t>告的编制；在每年结束之日起</w:t>
      </w:r>
      <w:r w:rsidR="0049298C">
        <w:rPr>
          <w:rFonts w:ascii="宋体" w:hAnsi="宋体" w:cs="Arial" w:hint="eastAsia"/>
          <w:kern w:val="0"/>
          <w:sz w:val="24"/>
        </w:rPr>
        <w:t>三个月</w:t>
      </w:r>
      <w:r>
        <w:rPr>
          <w:rFonts w:ascii="宋体" w:hAnsi="宋体" w:cs="Arial" w:hint="eastAsia"/>
          <w:kern w:val="0"/>
          <w:sz w:val="24"/>
        </w:rPr>
        <w:t>内完成基金年度报告的编制。基金年度报告的财务会计报告应当经</w:t>
      </w:r>
      <w:r w:rsidR="00922E9A">
        <w:rPr>
          <w:rFonts w:asciiTheme="minorEastAsia" w:eastAsiaTheme="minorEastAsia" w:hAnsiTheme="minorEastAsia" w:cs="Arial" w:hint="eastAsia"/>
          <w:kern w:val="0"/>
          <w:sz w:val="24"/>
        </w:rPr>
        <w:t>符合《中华人民共和国证券法》规定</w:t>
      </w:r>
      <w:r w:rsidR="00A906A7" w:rsidRPr="00997A74">
        <w:rPr>
          <w:rFonts w:ascii="宋体" w:hAnsi="宋体" w:cs="Arial" w:hint="eastAsia"/>
          <w:sz w:val="24"/>
        </w:rPr>
        <w:t>的会计师事务所</w:t>
      </w:r>
      <w:r>
        <w:rPr>
          <w:rFonts w:ascii="宋体" w:hAnsi="宋体" w:cs="Arial" w:hint="eastAsia"/>
          <w:kern w:val="0"/>
          <w:sz w:val="24"/>
        </w:rPr>
        <w:t>审计。《基金合同》生效不足两个月的，基金管理人可以不编制当期季度报告、</w:t>
      </w:r>
      <w:r w:rsidR="00747642">
        <w:rPr>
          <w:rFonts w:ascii="宋体" w:hAnsi="宋体" w:cs="Arial" w:hint="eastAsia"/>
          <w:kern w:val="0"/>
          <w:sz w:val="24"/>
        </w:rPr>
        <w:t>中期</w:t>
      </w:r>
      <w:r>
        <w:rPr>
          <w:rFonts w:ascii="宋体" w:hAnsi="宋体" w:cs="Arial"/>
          <w:kern w:val="0"/>
          <w:sz w:val="24"/>
        </w:rPr>
        <w:t>报</w:t>
      </w:r>
      <w:r>
        <w:rPr>
          <w:rFonts w:ascii="宋体" w:hAnsi="宋体" w:cs="Arial" w:hint="eastAsia"/>
          <w:kern w:val="0"/>
          <w:sz w:val="24"/>
        </w:rPr>
        <w:t>告或者年度报告。</w:t>
      </w:r>
    </w:p>
    <w:p w14:paraId="2E6DA41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(2)报表的复核</w:t>
      </w:r>
    </w:p>
    <w:p w14:paraId="3F3DE5F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4AD2BF9"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基金管理人应留足充分的时间，便于基金托管人复核相关报表及报告。</w:t>
      </w:r>
    </w:p>
    <w:p w14:paraId="427CBC1C" w14:textId="6B989D6A"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（八）基金管理人应在编制季度报告、</w:t>
      </w:r>
      <w:r w:rsidR="00747642">
        <w:rPr>
          <w:rFonts w:ascii="宋体" w:hAnsi="宋体" w:cs="Arial" w:hint="eastAsia"/>
          <w:kern w:val="0"/>
          <w:sz w:val="24"/>
        </w:rPr>
        <w:t>中期</w:t>
      </w:r>
      <w:r>
        <w:rPr>
          <w:rFonts w:ascii="宋体" w:hAnsi="宋体" w:cs="Arial"/>
          <w:kern w:val="0"/>
          <w:sz w:val="24"/>
        </w:rPr>
        <w:t>报</w:t>
      </w:r>
      <w:r>
        <w:rPr>
          <w:rFonts w:ascii="宋体" w:hAnsi="宋体" w:cs="Arial" w:hint="eastAsia"/>
          <w:kern w:val="0"/>
          <w:sz w:val="24"/>
        </w:rPr>
        <w:t>告或者年度报告之前及时向基金托管人提供基金业绩比较基准的基础数据和编制结果。</w:t>
      </w:r>
    </w:p>
    <w:p w14:paraId="4649510B" w14:textId="77777777" w:rsidR="00553A42" w:rsidRDefault="00553A42">
      <w:pPr>
        <w:pStyle w:val="a0"/>
        <w:adjustRightInd w:val="0"/>
        <w:snapToGrid w:val="0"/>
        <w:ind w:firstLineChars="0" w:firstLine="0"/>
        <w:rPr>
          <w:rFonts w:ascii="彩虹粗仿宋" w:eastAsia="彩虹粗仿宋" w:hAnsi="宋体" w:cs="Arial"/>
          <w:sz w:val="24"/>
        </w:rPr>
      </w:pPr>
    </w:p>
    <w:p w14:paraId="05B6E8CB" w14:textId="77777777" w:rsidR="00553A42" w:rsidRPr="005D3DFE" w:rsidRDefault="00827B77">
      <w:pPr>
        <w:pStyle w:val="2"/>
        <w:jc w:val="center"/>
        <w:rPr>
          <w:rFonts w:asciiTheme="minorEastAsia" w:eastAsiaTheme="minorEastAsia" w:hAnsiTheme="minorEastAsia"/>
          <w:sz w:val="30"/>
        </w:rPr>
      </w:pPr>
      <w:r>
        <w:rPr>
          <w:rFonts w:ascii="彩虹粗仿宋" w:eastAsia="彩虹粗仿宋"/>
          <w:sz w:val="30"/>
        </w:rPr>
        <w:br w:type="page"/>
      </w:r>
      <w:bookmarkStart w:id="90" w:name="_Toc62934254"/>
      <w:r w:rsidRPr="005D3DFE">
        <w:rPr>
          <w:rFonts w:asciiTheme="minorEastAsia" w:eastAsiaTheme="minorEastAsia" w:hAnsiTheme="minorEastAsia" w:hint="eastAsia"/>
          <w:sz w:val="30"/>
        </w:rPr>
        <w:lastRenderedPageBreak/>
        <w:t>九、基金收益分配</w:t>
      </w:r>
      <w:bookmarkEnd w:id="90"/>
    </w:p>
    <w:p w14:paraId="550D6666"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基金收益分配是指按规定将基金的可分配收益按基金份额进行比例分配。</w:t>
      </w:r>
    </w:p>
    <w:p w14:paraId="7E1E28C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（一）基金收益分配的原则</w:t>
      </w:r>
    </w:p>
    <w:p w14:paraId="661020D4"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基金收益分配应遵循下列原则：</w:t>
      </w:r>
    </w:p>
    <w:p w14:paraId="13C855A3" w14:textId="58DBE664"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1.在符合有关基金分红条件的前提下，基金管理人可以根据实际情况进行收益分配，具体分配方案以公告为准，若《基金合同》生效不满3个月可不进行收益分配</w:t>
      </w:r>
      <w:r w:rsidR="006335B3">
        <w:rPr>
          <w:rFonts w:ascii="宋体" w:hAnsi="宋体" w:cs="Arial" w:hint="eastAsia"/>
          <w:kern w:val="0"/>
          <w:sz w:val="24"/>
        </w:rPr>
        <w:t>；</w:t>
      </w:r>
    </w:p>
    <w:p w14:paraId="078A01EB" w14:textId="77777777" w:rsidR="00553A42" w:rsidRDefault="00827B77">
      <w:pPr>
        <w:spacing w:line="360" w:lineRule="auto"/>
        <w:ind w:firstLineChars="200" w:firstLine="480"/>
        <w:rPr>
          <w:rFonts w:ascii="宋体" w:hAnsi="宋体"/>
          <w:bCs/>
          <w:sz w:val="24"/>
        </w:rPr>
      </w:pPr>
      <w:r>
        <w:rPr>
          <w:rFonts w:ascii="宋体" w:hAnsi="宋体" w:hint="eastAsia"/>
          <w:bCs/>
          <w:sz w:val="24"/>
        </w:rPr>
        <w:t>2．本基金收益分配方式分两种：现金分红与红利再投资，投资者可选择现金红利或将现金红利自动转为同一类别的基金份额进行再投资；若投资者不选择，本基金默认的收益分配方式是现金分红；</w:t>
      </w:r>
    </w:p>
    <w:p w14:paraId="5478549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3.基金收益分配后基金份额净值不能低于面值；即基金收益分配基准日的某一类基金份额净值减去该类别每单位基金份额收益分配金额后不能低于面值；</w:t>
      </w:r>
    </w:p>
    <w:p w14:paraId="2751CB8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4.同一类别每一基金份额享有同等分配权；</w:t>
      </w:r>
    </w:p>
    <w:p w14:paraId="07F97CAB" w14:textId="07225FFA"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5.法律法规或监管</w:t>
      </w:r>
      <w:r w:rsidR="006335B3">
        <w:rPr>
          <w:rFonts w:ascii="宋体" w:hAnsi="宋体" w:cs="Arial" w:hint="eastAsia"/>
          <w:kern w:val="0"/>
          <w:sz w:val="24"/>
        </w:rPr>
        <w:t>机关</w:t>
      </w:r>
      <w:r>
        <w:rPr>
          <w:rFonts w:ascii="宋体" w:hAnsi="宋体" w:cs="Arial" w:hint="eastAsia"/>
          <w:kern w:val="0"/>
          <w:sz w:val="24"/>
        </w:rPr>
        <w:t>另有规定的，从其规定。</w:t>
      </w:r>
    </w:p>
    <w:p w14:paraId="09306D50"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（二）基金收益分配的时间和程序</w:t>
      </w:r>
    </w:p>
    <w:p w14:paraId="21DE4A97" w14:textId="4776C7C2"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本基金收益分配方案由基金管理人拟订，并由基金托管人复核，在2日内在</w:t>
      </w:r>
      <w:r w:rsidR="00A903F4">
        <w:rPr>
          <w:rFonts w:ascii="宋体" w:hAnsi="宋体" w:cs="Arial" w:hint="eastAsia"/>
          <w:kern w:val="0"/>
          <w:sz w:val="24"/>
        </w:rPr>
        <w:t>规定</w:t>
      </w:r>
      <w:r>
        <w:rPr>
          <w:rFonts w:ascii="宋体" w:hAnsi="宋体" w:cs="Arial" w:hint="eastAsia"/>
          <w:kern w:val="0"/>
          <w:sz w:val="24"/>
        </w:rPr>
        <w:t>媒介公告。基金红利发放日距离收益分配基准日（即可供分配利润计算截止日）的时间不得超过15个工作日。</w:t>
      </w:r>
    </w:p>
    <w:p w14:paraId="75F624E4" w14:textId="26892C41" w:rsidR="004F0627" w:rsidRDefault="00827B77" w:rsidP="004F062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基金收益分配时所发生的银行转账或其他手续费用由投资者自行承担。红利再投资的计算方法，依照《民生加银基金管理有限公司开放式基金业务规则》执行。</w:t>
      </w:r>
    </w:p>
    <w:p w14:paraId="622E553F" w14:textId="32DA3D16" w:rsidR="00553A42" w:rsidRPr="004F0627" w:rsidRDefault="004F0627" w:rsidP="006A5A85">
      <w:pPr>
        <w:widowControl/>
        <w:jc w:val="left"/>
        <w:rPr>
          <w:rFonts w:ascii="宋体" w:hAnsi="宋体" w:cs="Arial"/>
          <w:kern w:val="0"/>
          <w:sz w:val="24"/>
        </w:rPr>
      </w:pPr>
      <w:r>
        <w:rPr>
          <w:rFonts w:ascii="宋体" w:hAnsi="宋体" w:cs="Arial"/>
          <w:kern w:val="0"/>
          <w:sz w:val="24"/>
        </w:rPr>
        <w:br w:type="page"/>
      </w:r>
    </w:p>
    <w:p w14:paraId="7EF22F5E" w14:textId="77777777" w:rsidR="00553A42" w:rsidRPr="005D3DFE" w:rsidRDefault="00827B77">
      <w:pPr>
        <w:pStyle w:val="2"/>
        <w:jc w:val="center"/>
        <w:rPr>
          <w:rFonts w:asciiTheme="minorEastAsia" w:eastAsiaTheme="minorEastAsia" w:hAnsiTheme="minorEastAsia"/>
          <w:sz w:val="30"/>
        </w:rPr>
      </w:pPr>
      <w:bookmarkStart w:id="91" w:name="_Toc62934255"/>
      <w:r w:rsidRPr="005D3DFE">
        <w:rPr>
          <w:rFonts w:asciiTheme="minorEastAsia" w:eastAsiaTheme="minorEastAsia" w:hAnsiTheme="minorEastAsia" w:hint="eastAsia"/>
          <w:sz w:val="30"/>
        </w:rPr>
        <w:lastRenderedPageBreak/>
        <w:t>十、基金信息披露</w:t>
      </w:r>
      <w:bookmarkEnd w:id="91"/>
    </w:p>
    <w:p w14:paraId="2C1022C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（一）保密义务</w:t>
      </w:r>
    </w:p>
    <w:p w14:paraId="02123ED4" w14:textId="73E86855"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100F009"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1.非因基金管理人和基金托管人的原因导致保密信息被披露、泄露或公开；</w:t>
      </w:r>
    </w:p>
    <w:p w14:paraId="6C05326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2.基金管理人和基金托管人为遵守和服从法院判决或裁定、仲裁裁决或中国证监会等监管机构的命令、决定所做出的信息披露或公开。</w:t>
      </w:r>
    </w:p>
    <w:p w14:paraId="1E6BA5E9"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（二）信息披露的内容</w:t>
      </w:r>
    </w:p>
    <w:p w14:paraId="2DB5380A" w14:textId="7A4EFD73" w:rsidR="00553A42" w:rsidRPr="00E43D07" w:rsidRDefault="00827B77">
      <w:pPr>
        <w:widowControl/>
        <w:adjustRightInd w:val="0"/>
        <w:snapToGrid w:val="0"/>
        <w:spacing w:line="360" w:lineRule="auto"/>
        <w:ind w:firstLineChars="200" w:firstLine="480"/>
        <w:rPr>
          <w:rFonts w:asciiTheme="minorEastAsia" w:eastAsiaTheme="minorEastAsia" w:hAnsiTheme="minorEastAsia" w:cs="Arial"/>
          <w:kern w:val="0"/>
          <w:sz w:val="24"/>
        </w:rPr>
      </w:pPr>
      <w:r w:rsidRPr="00E43D07">
        <w:rPr>
          <w:rFonts w:asciiTheme="minorEastAsia" w:eastAsiaTheme="minorEastAsia" w:hAnsiTheme="minorEastAsia" w:cs="Arial" w:hint="eastAsia"/>
          <w:kern w:val="0"/>
          <w:sz w:val="24"/>
        </w:rPr>
        <w:t>基金的信息披露内容主要包括基金招募说明书、《基金合同》、托管协议、</w:t>
      </w:r>
      <w:r w:rsidR="00EF576C" w:rsidRPr="00BD5C18">
        <w:rPr>
          <w:rFonts w:ascii="宋体" w:hAnsi="宋体" w:cs="Arial"/>
          <w:kern w:val="0"/>
          <w:sz w:val="24"/>
        </w:rPr>
        <w:t>基金产品资料概要、基金清算报告、</w:t>
      </w:r>
      <w:r w:rsidRPr="00E43D07">
        <w:rPr>
          <w:rFonts w:asciiTheme="minorEastAsia" w:eastAsiaTheme="minorEastAsia" w:hAnsiTheme="minorEastAsia" w:cs="Arial" w:hint="eastAsia"/>
          <w:kern w:val="0"/>
          <w:sz w:val="24"/>
        </w:rPr>
        <w:t>基金份额发售公告、基金募集情况、《基金合同》生效公告</w:t>
      </w:r>
      <w:r w:rsidR="00EF576C">
        <w:rPr>
          <w:rFonts w:asciiTheme="minorEastAsia" w:eastAsiaTheme="minorEastAsia" w:hAnsiTheme="minorEastAsia" w:cs="Arial" w:hint="eastAsia"/>
          <w:kern w:val="0"/>
          <w:sz w:val="24"/>
        </w:rPr>
        <w:t>基金净值信息</w:t>
      </w:r>
      <w:r w:rsidRPr="00E43D07">
        <w:rPr>
          <w:rFonts w:asciiTheme="minorEastAsia" w:eastAsiaTheme="minorEastAsia" w:hAnsiTheme="minorEastAsia" w:cs="Arial" w:hint="eastAsia"/>
          <w:kern w:val="0"/>
          <w:sz w:val="24"/>
        </w:rPr>
        <w:t>、基金份额申购、赎回价格、基金定期报告（包括基金年度报告、基金</w:t>
      </w:r>
      <w:r w:rsidR="00747642">
        <w:rPr>
          <w:rFonts w:asciiTheme="minorEastAsia" w:eastAsiaTheme="minorEastAsia" w:hAnsiTheme="minorEastAsia" w:cs="Arial" w:hint="eastAsia"/>
          <w:kern w:val="0"/>
          <w:sz w:val="24"/>
        </w:rPr>
        <w:t>中期</w:t>
      </w:r>
      <w:r w:rsidRPr="00E43D07">
        <w:rPr>
          <w:rFonts w:asciiTheme="minorEastAsia" w:eastAsiaTheme="minorEastAsia" w:hAnsiTheme="minorEastAsia" w:cs="Arial" w:hint="eastAsia"/>
          <w:kern w:val="0"/>
          <w:sz w:val="24"/>
        </w:rPr>
        <w:t>报告和基金季度报告）、临时报告、澄清公告、基金份额持有人大会决议、</w:t>
      </w:r>
      <w:r w:rsidR="00C12C2D" w:rsidRPr="000803C1">
        <w:rPr>
          <w:rFonts w:eastAsiaTheme="majorEastAsia" w:hint="eastAsia"/>
          <w:bCs/>
          <w:sz w:val="24"/>
        </w:rPr>
        <w:t>实施侧袋机制期间的信息披露</w:t>
      </w:r>
      <w:r w:rsidR="00C12C2D">
        <w:rPr>
          <w:rFonts w:eastAsiaTheme="majorEastAsia" w:hint="eastAsia"/>
          <w:bCs/>
          <w:sz w:val="24"/>
        </w:rPr>
        <w:t>、</w:t>
      </w:r>
      <w:r w:rsidRPr="00E43D07">
        <w:rPr>
          <w:rFonts w:asciiTheme="minorEastAsia" w:eastAsiaTheme="minorEastAsia" w:hAnsiTheme="minorEastAsia" w:cs="Arial" w:hint="eastAsia"/>
          <w:kern w:val="0"/>
          <w:sz w:val="24"/>
        </w:rPr>
        <w:t>中国证监会规定的其他信息。基金年度报告</w:t>
      </w:r>
      <w:r w:rsidR="00EF576C" w:rsidRPr="00EF576C">
        <w:rPr>
          <w:rFonts w:asciiTheme="minorEastAsia" w:eastAsiaTheme="minorEastAsia" w:hAnsiTheme="minorEastAsia" w:cs="Arial" w:hint="eastAsia"/>
          <w:kern w:val="0"/>
          <w:sz w:val="24"/>
        </w:rPr>
        <w:t>中的财务会计报告</w:t>
      </w:r>
      <w:r w:rsidRPr="00EF576C">
        <w:rPr>
          <w:rFonts w:asciiTheme="minorEastAsia" w:eastAsiaTheme="minorEastAsia" w:hAnsiTheme="minorEastAsia" w:cs="Arial" w:hint="eastAsia"/>
          <w:kern w:val="0"/>
          <w:sz w:val="24"/>
        </w:rPr>
        <w:t>需</w:t>
      </w:r>
      <w:r w:rsidRPr="00E43D07">
        <w:rPr>
          <w:rFonts w:asciiTheme="minorEastAsia" w:eastAsiaTheme="minorEastAsia" w:hAnsiTheme="minorEastAsia" w:cs="Arial" w:hint="eastAsia"/>
          <w:kern w:val="0"/>
          <w:sz w:val="24"/>
        </w:rPr>
        <w:t>经</w:t>
      </w:r>
      <w:r w:rsidR="00A70CE8">
        <w:rPr>
          <w:rFonts w:asciiTheme="minorEastAsia" w:eastAsiaTheme="minorEastAsia" w:hAnsiTheme="minorEastAsia" w:cs="Arial" w:hint="eastAsia"/>
          <w:kern w:val="0"/>
          <w:sz w:val="24"/>
        </w:rPr>
        <w:t>符合《中华人民共和国证券法》规定</w:t>
      </w:r>
      <w:r w:rsidRPr="00E43D07">
        <w:rPr>
          <w:rFonts w:asciiTheme="minorEastAsia" w:eastAsiaTheme="minorEastAsia" w:hAnsiTheme="minorEastAsia" w:cs="Arial" w:hint="eastAsia"/>
          <w:kern w:val="0"/>
          <w:sz w:val="24"/>
        </w:rPr>
        <w:t>的会计师事务所审计后，方可披露。</w:t>
      </w:r>
    </w:p>
    <w:p w14:paraId="1C339719"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（三）基金托管人和基金管理人在信息披露中的职责和信息披露程序</w:t>
      </w:r>
    </w:p>
    <w:p w14:paraId="02386E2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1.职责</w:t>
      </w:r>
    </w:p>
    <w:p w14:paraId="49E6A05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2FA2F39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对于不需要基金托管人(或基金管理人)复核的信息，基金管理人(或基金托管人)在公告前应告知基金托管人(或基金管理人)。</w:t>
      </w:r>
    </w:p>
    <w:p w14:paraId="1967D69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基金管理人和基金托管人应积极配合、互相监督，保证其履行按照法定方式和限时披露的义务。</w:t>
      </w:r>
    </w:p>
    <w:p w14:paraId="3FA09741" w14:textId="0DE2E12D"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基金管理人应当在中国证监会规定的时间内，将应予披露的基金信息通过</w:t>
      </w:r>
      <w:r w:rsidR="00A903F4">
        <w:rPr>
          <w:rFonts w:ascii="宋体" w:hAnsi="宋体" w:cs="Arial" w:hint="eastAsia"/>
          <w:kern w:val="0"/>
          <w:sz w:val="24"/>
        </w:rPr>
        <w:t>规定媒介</w:t>
      </w:r>
      <w:r>
        <w:rPr>
          <w:rFonts w:ascii="宋体" w:hAnsi="宋体" w:cs="Arial" w:hint="eastAsia"/>
          <w:kern w:val="0"/>
          <w:sz w:val="24"/>
        </w:rPr>
        <w:t>披露。根据法律法规应由基金托管人公开披露的信息，基金托管人将通过</w:t>
      </w:r>
      <w:r w:rsidR="00A903F4">
        <w:rPr>
          <w:rFonts w:ascii="宋体" w:hAnsi="宋体" w:cs="Arial" w:hint="eastAsia"/>
          <w:kern w:val="0"/>
          <w:sz w:val="24"/>
        </w:rPr>
        <w:t>规定媒介</w:t>
      </w:r>
      <w:r>
        <w:rPr>
          <w:rFonts w:ascii="宋体" w:hAnsi="宋体" w:cs="Arial" w:hint="eastAsia"/>
          <w:kern w:val="0"/>
          <w:sz w:val="24"/>
        </w:rPr>
        <w:t>公开披露。</w:t>
      </w:r>
    </w:p>
    <w:p w14:paraId="0ED77321"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当出现下述情况时，基金管理人和基金托管人可暂停或延迟披露基金相关信息：</w:t>
      </w:r>
    </w:p>
    <w:p w14:paraId="7A687CA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(1)不可抗力；</w:t>
      </w:r>
    </w:p>
    <w:p w14:paraId="1582C6F9"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w:t>
      </w:r>
      <w:r>
        <w:rPr>
          <w:rFonts w:ascii="宋体" w:hAnsi="宋体" w:cs="Arial"/>
          <w:kern w:val="0"/>
          <w:sz w:val="24"/>
        </w:rPr>
        <w:t>2</w:t>
      </w:r>
      <w:r>
        <w:rPr>
          <w:rFonts w:ascii="宋体" w:hAnsi="宋体" w:cs="Arial" w:hint="eastAsia"/>
          <w:kern w:val="0"/>
          <w:sz w:val="24"/>
        </w:rPr>
        <w:t>)出现基金合同约定的暂停估值的情形；</w:t>
      </w:r>
    </w:p>
    <w:p w14:paraId="5517E9D7"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(3)法律法规、基金合同或中国证监会规定的情况。</w:t>
      </w:r>
    </w:p>
    <w:p w14:paraId="1172BD77"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2.程序</w:t>
      </w:r>
    </w:p>
    <w:p w14:paraId="79DB485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按有关规定须经基金托管人复核的信息披露文件，由基金管理人起草、并经基金托管人复核后由基金管理人公告。发生《基金合同》中规定需要披露的事项时，按《基金合同》规定公布。</w:t>
      </w:r>
    </w:p>
    <w:p w14:paraId="6C72D75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3.信息文本的存放</w:t>
      </w:r>
    </w:p>
    <w:p w14:paraId="5392E9A7" w14:textId="63E70458" w:rsidR="004F0627" w:rsidRDefault="00827B77">
      <w:pPr>
        <w:widowControl/>
        <w:adjustRightInd w:val="0"/>
        <w:snapToGrid w:val="0"/>
        <w:spacing w:line="360" w:lineRule="auto"/>
        <w:rPr>
          <w:rFonts w:ascii="宋体" w:hAnsi="宋体" w:cs="Arial"/>
          <w:kern w:val="0"/>
          <w:sz w:val="24"/>
        </w:rPr>
      </w:pPr>
      <w:r>
        <w:rPr>
          <w:rFonts w:ascii="宋体" w:hAnsi="宋体" w:cs="Arial" w:hint="eastAsia"/>
          <w:kern w:val="0"/>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01C8EDAB" w14:textId="388556D7" w:rsidR="00553A42" w:rsidRDefault="004F0627" w:rsidP="006A5A85">
      <w:pPr>
        <w:widowControl/>
        <w:jc w:val="left"/>
        <w:rPr>
          <w:rFonts w:ascii="宋体" w:hAnsi="宋体" w:cs="Arial"/>
          <w:kern w:val="0"/>
          <w:sz w:val="24"/>
        </w:rPr>
      </w:pPr>
      <w:r>
        <w:rPr>
          <w:rFonts w:ascii="宋体" w:hAnsi="宋体" w:cs="Arial"/>
          <w:kern w:val="0"/>
          <w:sz w:val="24"/>
        </w:rPr>
        <w:br w:type="page"/>
      </w:r>
    </w:p>
    <w:p w14:paraId="14527418" w14:textId="77777777" w:rsidR="00553A42" w:rsidRPr="00F35607" w:rsidRDefault="00827B77">
      <w:pPr>
        <w:pStyle w:val="2"/>
        <w:jc w:val="center"/>
        <w:rPr>
          <w:rFonts w:asciiTheme="minorEastAsia" w:eastAsiaTheme="minorEastAsia" w:hAnsiTheme="minorEastAsia"/>
          <w:sz w:val="30"/>
        </w:rPr>
      </w:pPr>
      <w:bookmarkStart w:id="92" w:name="_Toc62934256"/>
      <w:r w:rsidRPr="00F35607">
        <w:rPr>
          <w:rFonts w:asciiTheme="minorEastAsia" w:eastAsiaTheme="minorEastAsia" w:hAnsiTheme="minorEastAsia" w:hint="eastAsia"/>
          <w:sz w:val="30"/>
        </w:rPr>
        <w:lastRenderedPageBreak/>
        <w:t>十一、基金费用</w:t>
      </w:r>
      <w:bookmarkEnd w:id="92"/>
    </w:p>
    <w:p w14:paraId="3A3C6E5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（一）基金管理费的计提比例和计提方法</w:t>
      </w:r>
    </w:p>
    <w:p w14:paraId="3B613A1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本基金的管理费按前一日基金资产净值的0.</w:t>
      </w:r>
      <w:r>
        <w:rPr>
          <w:rFonts w:ascii="宋体" w:hAnsi="宋体" w:cs="Arial"/>
          <w:kern w:val="0"/>
          <w:sz w:val="24"/>
        </w:rPr>
        <w:t>9</w:t>
      </w:r>
      <w:r>
        <w:rPr>
          <w:rFonts w:ascii="宋体" w:hAnsi="宋体" w:cs="Arial" w:hint="eastAsia"/>
          <w:kern w:val="0"/>
          <w:sz w:val="24"/>
        </w:rPr>
        <w:t>0%年费率计提。管理费的计算方法如下：</w:t>
      </w:r>
    </w:p>
    <w:p w14:paraId="1BFDAF2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H＝E×年管理费率÷当年天数</w:t>
      </w:r>
    </w:p>
    <w:p w14:paraId="6E35A3F0"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H为每日应计提的基金管理费</w:t>
      </w:r>
    </w:p>
    <w:p w14:paraId="1ADF2B8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E为前一日的基金资产净值</w:t>
      </w:r>
    </w:p>
    <w:p w14:paraId="7E9648F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（二）基金托管费的计提比例和计提方法</w:t>
      </w:r>
    </w:p>
    <w:p w14:paraId="667AF56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本基金的托管费按前一日基金资产净值的0.</w:t>
      </w:r>
      <w:r>
        <w:rPr>
          <w:rFonts w:ascii="宋体" w:hAnsi="宋体" w:cs="Arial"/>
          <w:kern w:val="0"/>
          <w:sz w:val="24"/>
        </w:rPr>
        <w:t>15</w:t>
      </w:r>
      <w:r>
        <w:rPr>
          <w:rFonts w:ascii="宋体" w:hAnsi="宋体" w:cs="Arial" w:hint="eastAsia"/>
          <w:kern w:val="0"/>
          <w:sz w:val="24"/>
        </w:rPr>
        <w:t>%年费率计提。托管费的计算方法如下：</w:t>
      </w:r>
    </w:p>
    <w:p w14:paraId="1625C5B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H＝E×年托管费率÷当年天数</w:t>
      </w:r>
    </w:p>
    <w:p w14:paraId="421FC28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H为每日应计提的基金托管费</w:t>
      </w:r>
    </w:p>
    <w:p w14:paraId="5776408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E为前一日的基金资产净值</w:t>
      </w:r>
    </w:p>
    <w:p w14:paraId="6E958D0C" w14:textId="77777777" w:rsidR="00553A42" w:rsidRDefault="00827B77">
      <w:pPr>
        <w:spacing w:line="360" w:lineRule="auto"/>
        <w:ind w:firstLineChars="200" w:firstLine="480"/>
        <w:rPr>
          <w:bCs/>
          <w:sz w:val="24"/>
          <w:szCs w:val="20"/>
        </w:rPr>
      </w:pPr>
      <w:r>
        <w:rPr>
          <w:rFonts w:hint="eastAsia"/>
          <w:bCs/>
          <w:sz w:val="24"/>
          <w:szCs w:val="20"/>
        </w:rPr>
        <w:t>（三）</w:t>
      </w:r>
      <w:r>
        <w:rPr>
          <w:rFonts w:hint="eastAsia"/>
          <w:bCs/>
          <w:sz w:val="24"/>
          <w:szCs w:val="20"/>
        </w:rPr>
        <w:t>C</w:t>
      </w:r>
      <w:r>
        <w:rPr>
          <w:rFonts w:hint="eastAsia"/>
          <w:bCs/>
          <w:sz w:val="24"/>
          <w:szCs w:val="20"/>
        </w:rPr>
        <w:t>类基金份额的销售服务费</w:t>
      </w:r>
      <w:r>
        <w:rPr>
          <w:rFonts w:hint="eastAsia"/>
          <w:bCs/>
          <w:sz w:val="24"/>
          <w:szCs w:val="20"/>
        </w:rPr>
        <w:t xml:space="preserve"> </w:t>
      </w:r>
    </w:p>
    <w:p w14:paraId="7A50ECAF" w14:textId="77777777" w:rsidR="00553A42" w:rsidRDefault="00827B77">
      <w:pPr>
        <w:spacing w:line="360" w:lineRule="auto"/>
        <w:ind w:firstLineChars="200" w:firstLine="480"/>
        <w:rPr>
          <w:bCs/>
          <w:sz w:val="24"/>
          <w:szCs w:val="20"/>
        </w:rPr>
      </w:pPr>
      <w:r>
        <w:rPr>
          <w:rFonts w:hint="eastAsia"/>
          <w:bCs/>
          <w:sz w:val="24"/>
          <w:szCs w:val="20"/>
        </w:rPr>
        <w:t>本基金</w:t>
      </w:r>
      <w:r>
        <w:rPr>
          <w:rFonts w:hint="eastAsia"/>
          <w:bCs/>
          <w:sz w:val="24"/>
          <w:szCs w:val="20"/>
        </w:rPr>
        <w:t>A</w:t>
      </w:r>
      <w:r>
        <w:rPr>
          <w:rFonts w:hint="eastAsia"/>
          <w:bCs/>
          <w:sz w:val="24"/>
          <w:szCs w:val="20"/>
        </w:rPr>
        <w:t>类基金份额不收取销售服务费，</w:t>
      </w:r>
      <w:r>
        <w:rPr>
          <w:rFonts w:hint="eastAsia"/>
          <w:bCs/>
          <w:sz w:val="24"/>
          <w:szCs w:val="20"/>
        </w:rPr>
        <w:t>C</w:t>
      </w:r>
      <w:r>
        <w:rPr>
          <w:rFonts w:hint="eastAsia"/>
          <w:bCs/>
          <w:sz w:val="24"/>
          <w:szCs w:val="20"/>
        </w:rPr>
        <w:t>类基金份额的销售服务费将专门用于本基金</w:t>
      </w:r>
      <w:r>
        <w:rPr>
          <w:rFonts w:hint="eastAsia"/>
          <w:bCs/>
          <w:sz w:val="24"/>
          <w:szCs w:val="20"/>
        </w:rPr>
        <w:t>C</w:t>
      </w:r>
      <w:r>
        <w:rPr>
          <w:rFonts w:hint="eastAsia"/>
          <w:bCs/>
          <w:sz w:val="24"/>
          <w:szCs w:val="20"/>
        </w:rPr>
        <w:t>类基金份额的销售与基金份额持有人服务。</w:t>
      </w:r>
      <w:r>
        <w:rPr>
          <w:rFonts w:hint="eastAsia"/>
          <w:bCs/>
          <w:sz w:val="24"/>
          <w:szCs w:val="20"/>
        </w:rPr>
        <w:t xml:space="preserve"> </w:t>
      </w:r>
    </w:p>
    <w:p w14:paraId="0D94E200" w14:textId="77777777" w:rsidR="00553A42" w:rsidRDefault="00827B77">
      <w:pPr>
        <w:spacing w:line="360" w:lineRule="auto"/>
        <w:ind w:firstLineChars="200" w:firstLine="480"/>
        <w:rPr>
          <w:bCs/>
          <w:sz w:val="24"/>
          <w:szCs w:val="20"/>
        </w:rPr>
      </w:pPr>
      <w:r>
        <w:rPr>
          <w:rFonts w:hint="eastAsia"/>
          <w:bCs/>
          <w:sz w:val="24"/>
          <w:szCs w:val="20"/>
        </w:rPr>
        <w:t>在通常情况下，销售服务费按前一日</w:t>
      </w:r>
      <w:r>
        <w:rPr>
          <w:rFonts w:hint="eastAsia"/>
          <w:bCs/>
          <w:sz w:val="24"/>
          <w:szCs w:val="20"/>
        </w:rPr>
        <w:t>C</w:t>
      </w:r>
      <w:r>
        <w:rPr>
          <w:rFonts w:hint="eastAsia"/>
          <w:bCs/>
          <w:sz w:val="24"/>
          <w:szCs w:val="20"/>
        </w:rPr>
        <w:t>类基金份额基金资产净值的</w:t>
      </w:r>
      <w:r>
        <w:rPr>
          <w:rFonts w:hint="eastAsia"/>
          <w:bCs/>
          <w:sz w:val="24"/>
          <w:szCs w:val="20"/>
        </w:rPr>
        <w:t>0.</w:t>
      </w:r>
      <w:r>
        <w:rPr>
          <w:bCs/>
          <w:sz w:val="24"/>
          <w:szCs w:val="20"/>
        </w:rPr>
        <w:t>4</w:t>
      </w:r>
      <w:r>
        <w:rPr>
          <w:rFonts w:hint="eastAsia"/>
          <w:bCs/>
          <w:sz w:val="24"/>
          <w:szCs w:val="20"/>
        </w:rPr>
        <w:t>0%</w:t>
      </w:r>
      <w:r>
        <w:rPr>
          <w:rFonts w:hint="eastAsia"/>
          <w:bCs/>
          <w:sz w:val="24"/>
          <w:szCs w:val="20"/>
        </w:rPr>
        <w:t>年费率计提。计算方法如下：</w:t>
      </w:r>
    </w:p>
    <w:p w14:paraId="23AEC72F" w14:textId="77777777" w:rsidR="00553A42" w:rsidRDefault="00827B77">
      <w:pPr>
        <w:spacing w:line="360" w:lineRule="auto"/>
        <w:ind w:firstLineChars="200" w:firstLine="480"/>
        <w:rPr>
          <w:bCs/>
          <w:sz w:val="24"/>
          <w:szCs w:val="20"/>
        </w:rPr>
      </w:pPr>
      <w:r>
        <w:rPr>
          <w:bCs/>
          <w:sz w:val="24"/>
          <w:szCs w:val="20"/>
        </w:rPr>
        <w:t>H</w:t>
      </w:r>
      <w:r>
        <w:rPr>
          <w:bCs/>
          <w:sz w:val="24"/>
          <w:szCs w:val="20"/>
        </w:rPr>
        <w:t>＝</w:t>
      </w:r>
      <w:r>
        <w:rPr>
          <w:bCs/>
          <w:sz w:val="24"/>
          <w:szCs w:val="20"/>
        </w:rPr>
        <w:t>E×</w:t>
      </w:r>
      <w:r>
        <w:rPr>
          <w:rFonts w:hint="eastAsia"/>
          <w:bCs/>
          <w:sz w:val="24"/>
          <w:szCs w:val="20"/>
        </w:rPr>
        <w:t>0.</w:t>
      </w:r>
      <w:r>
        <w:rPr>
          <w:bCs/>
          <w:sz w:val="24"/>
          <w:szCs w:val="20"/>
        </w:rPr>
        <w:t>4</w:t>
      </w:r>
      <w:r>
        <w:rPr>
          <w:rFonts w:hint="eastAsia"/>
          <w:bCs/>
          <w:sz w:val="24"/>
          <w:szCs w:val="20"/>
        </w:rPr>
        <w:t>0</w:t>
      </w:r>
      <w:r>
        <w:rPr>
          <w:bCs/>
          <w:sz w:val="24"/>
          <w:szCs w:val="20"/>
        </w:rPr>
        <w:t>%÷</w:t>
      </w:r>
      <w:r>
        <w:rPr>
          <w:bCs/>
          <w:sz w:val="24"/>
          <w:szCs w:val="20"/>
        </w:rPr>
        <w:t>当年天数</w:t>
      </w:r>
    </w:p>
    <w:p w14:paraId="031C1DDC" w14:textId="77777777" w:rsidR="00553A42" w:rsidRDefault="00827B77">
      <w:pPr>
        <w:spacing w:line="360" w:lineRule="auto"/>
        <w:ind w:firstLineChars="200" w:firstLine="480"/>
        <w:rPr>
          <w:bCs/>
          <w:sz w:val="24"/>
          <w:szCs w:val="20"/>
        </w:rPr>
      </w:pPr>
      <w:r>
        <w:rPr>
          <w:bCs/>
          <w:sz w:val="24"/>
          <w:szCs w:val="20"/>
        </w:rPr>
        <w:t>H</w:t>
      </w:r>
      <w:r>
        <w:rPr>
          <w:bCs/>
          <w:sz w:val="24"/>
          <w:szCs w:val="20"/>
        </w:rPr>
        <w:t>为</w:t>
      </w:r>
      <w:r>
        <w:rPr>
          <w:rFonts w:hint="eastAsia"/>
          <w:bCs/>
          <w:sz w:val="24"/>
          <w:szCs w:val="20"/>
        </w:rPr>
        <w:t>C</w:t>
      </w:r>
      <w:r>
        <w:rPr>
          <w:rFonts w:hint="eastAsia"/>
          <w:bCs/>
          <w:sz w:val="24"/>
          <w:szCs w:val="20"/>
        </w:rPr>
        <w:t>类基金份额</w:t>
      </w:r>
      <w:r>
        <w:rPr>
          <w:bCs/>
          <w:sz w:val="24"/>
          <w:szCs w:val="20"/>
        </w:rPr>
        <w:t>每日应计提的</w:t>
      </w:r>
      <w:r>
        <w:rPr>
          <w:rFonts w:hint="eastAsia"/>
          <w:bCs/>
          <w:sz w:val="24"/>
          <w:szCs w:val="20"/>
        </w:rPr>
        <w:t>销售服务费</w:t>
      </w:r>
    </w:p>
    <w:p w14:paraId="68B234D8" w14:textId="77777777" w:rsidR="00553A42" w:rsidRDefault="00827B77">
      <w:pPr>
        <w:spacing w:line="360" w:lineRule="auto"/>
        <w:ind w:firstLineChars="200" w:firstLine="480"/>
        <w:rPr>
          <w:bCs/>
          <w:sz w:val="24"/>
          <w:szCs w:val="20"/>
        </w:rPr>
      </w:pPr>
      <w:r>
        <w:rPr>
          <w:bCs/>
          <w:sz w:val="24"/>
          <w:szCs w:val="20"/>
        </w:rPr>
        <w:t>E</w:t>
      </w:r>
      <w:r>
        <w:rPr>
          <w:bCs/>
          <w:sz w:val="24"/>
          <w:szCs w:val="20"/>
        </w:rPr>
        <w:t>为</w:t>
      </w:r>
      <w:r>
        <w:rPr>
          <w:rFonts w:hint="eastAsia"/>
          <w:bCs/>
          <w:sz w:val="24"/>
          <w:szCs w:val="20"/>
        </w:rPr>
        <w:t>C</w:t>
      </w:r>
      <w:r>
        <w:rPr>
          <w:rFonts w:hint="eastAsia"/>
          <w:bCs/>
          <w:sz w:val="24"/>
          <w:szCs w:val="20"/>
        </w:rPr>
        <w:t>类基金份额前一日的基金资产净值</w:t>
      </w:r>
    </w:p>
    <w:p w14:paraId="17A23DF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四）证券、期货账户开户费用、证券、期货交易费用、基金的银行汇划费用、账户维护费、《基金合同》生效后的信息披露费用、基金份额持有人大会费用、《基金合同》生效后与基金有关的会计师费、律师费和诉讼费等根据有关法律法规、《基金合同》及相应协议的规定，列入当期基金费用。</w:t>
      </w:r>
    </w:p>
    <w:p w14:paraId="462F914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（五）不列入基金费用的项目</w:t>
      </w:r>
    </w:p>
    <w:p w14:paraId="29E64B1C" w14:textId="6266C4E8"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《基金合同》生效前的律师费、会计师费和信息披露费用不得从基金财产中列支；基金管理人和基金托管人因未履行或未完全履行义务导致的费用支出或基金</w:t>
      </w:r>
      <w:r>
        <w:rPr>
          <w:rFonts w:ascii="宋体" w:hAnsi="宋体" w:cs="Arial" w:hint="eastAsia"/>
          <w:kern w:val="0"/>
          <w:sz w:val="24"/>
        </w:rPr>
        <w:lastRenderedPageBreak/>
        <w:t>财产的损失，处理与基金运作无关的事项发生的费用</w:t>
      </w:r>
      <w:r w:rsidR="00EF576C" w:rsidRPr="00EF576C">
        <w:rPr>
          <w:rFonts w:ascii="宋体" w:hAnsi="宋体" w:cs="Arial" w:hint="eastAsia"/>
          <w:kern w:val="0"/>
          <w:sz w:val="24"/>
        </w:rPr>
        <w:t>以及其他根据相关法律法规及中国证监会的有关规定不得列入基金费用的项目</w:t>
      </w:r>
      <w:r w:rsidRPr="00EF576C">
        <w:rPr>
          <w:rFonts w:ascii="宋体" w:hAnsi="宋体" w:cs="Arial" w:hint="eastAsia"/>
          <w:kern w:val="0"/>
          <w:sz w:val="24"/>
        </w:rPr>
        <w:t>等</w:t>
      </w:r>
      <w:r>
        <w:rPr>
          <w:rFonts w:ascii="宋体" w:hAnsi="宋体" w:cs="Arial" w:hint="eastAsia"/>
          <w:kern w:val="0"/>
          <w:sz w:val="24"/>
        </w:rPr>
        <w:t>不列入基金费用。</w:t>
      </w:r>
    </w:p>
    <w:p w14:paraId="02DC289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（六）基金管理费、基金托管费的调整</w:t>
      </w:r>
    </w:p>
    <w:p w14:paraId="530F1F1F" w14:textId="1B9CD1AC"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基金管理人和基金托管人可协商酌情降低基金管理费、基金托管费，此项调整不需要基金份额持有人大会决议通过。基金管理人必须最迟于新的费率实施日2日前在</w:t>
      </w:r>
      <w:r w:rsidR="00A903F4">
        <w:rPr>
          <w:rFonts w:ascii="宋体" w:hAnsi="宋体" w:cs="Arial" w:hint="eastAsia"/>
          <w:kern w:val="0"/>
          <w:sz w:val="24"/>
        </w:rPr>
        <w:t>规定媒介</w:t>
      </w:r>
      <w:r>
        <w:rPr>
          <w:rFonts w:ascii="宋体" w:hAnsi="宋体" w:cs="Arial" w:hint="eastAsia"/>
          <w:kern w:val="0"/>
          <w:sz w:val="24"/>
        </w:rPr>
        <w:t>上刊登公告。</w:t>
      </w:r>
    </w:p>
    <w:p w14:paraId="0629CD6C" w14:textId="0FB9F774"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（七）基金管理费、基金托管费</w:t>
      </w:r>
      <w:r w:rsidR="00EF576C">
        <w:rPr>
          <w:rFonts w:ascii="宋体" w:hAnsi="宋体" w:cs="Arial" w:hint="eastAsia"/>
          <w:kern w:val="0"/>
          <w:sz w:val="24"/>
        </w:rPr>
        <w:t>、基金销售服务费</w:t>
      </w:r>
      <w:r>
        <w:rPr>
          <w:rFonts w:ascii="宋体" w:hAnsi="宋体" w:cs="Arial" w:hint="eastAsia"/>
          <w:kern w:val="0"/>
          <w:sz w:val="24"/>
        </w:rPr>
        <w:t>的复核程序、支付方式和时间</w:t>
      </w:r>
    </w:p>
    <w:p w14:paraId="0CBA549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1.复核程序</w:t>
      </w:r>
    </w:p>
    <w:p w14:paraId="634C131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基金托管人对基金管理人计提的基金管理费、基金托管费、销售服务费等，根据本托管协议和《基金合同》的有关规定进行复核。</w:t>
      </w:r>
    </w:p>
    <w:p w14:paraId="7884A12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2.支付方式和时间</w:t>
      </w:r>
    </w:p>
    <w:p w14:paraId="40E69F3D" w14:textId="6A9ECDD2" w:rsidR="007929B9" w:rsidRPr="006A5A85" w:rsidRDefault="007929B9" w:rsidP="006A5A85">
      <w:pPr>
        <w:spacing w:line="360" w:lineRule="auto"/>
        <w:ind w:firstLine="480"/>
        <w:rPr>
          <w:rFonts w:ascii="宋体" w:hAnsi="宋体" w:cs="Arial"/>
          <w:kern w:val="0"/>
          <w:sz w:val="24"/>
        </w:rPr>
      </w:pPr>
      <w:r w:rsidRPr="006A5A85">
        <w:rPr>
          <w:rFonts w:ascii="宋体" w:hAnsi="宋体" w:cs="Arial" w:hint="eastAsia"/>
          <w:kern w:val="0"/>
          <w:sz w:val="24"/>
        </w:rPr>
        <w:t>基金管理费、基金托管费每日计提，按月支付。由管理人向托管人发送划款指令，托管人复核后于次月前5个工作日内从基金财产中一次性支</w:t>
      </w:r>
      <w:r w:rsidR="00C14CA0">
        <w:rPr>
          <w:rFonts w:ascii="宋体" w:hAnsi="宋体" w:cs="Arial" w:hint="eastAsia"/>
          <w:kern w:val="0"/>
          <w:sz w:val="24"/>
        </w:rPr>
        <w:t>付</w:t>
      </w:r>
      <w:r w:rsidRPr="006A5A85">
        <w:rPr>
          <w:rFonts w:ascii="宋体" w:hAnsi="宋体" w:cs="Arial" w:hint="eastAsia"/>
          <w:kern w:val="0"/>
          <w:sz w:val="24"/>
        </w:rPr>
        <w:t>。若遇法定节假日、休息日等，支付日期顺延。费用扣划后，管理人应进行核对，如发现数据不符，及时联系托管人协商解决。</w:t>
      </w:r>
    </w:p>
    <w:p w14:paraId="0C0F76AE" w14:textId="362AFFA5" w:rsidR="007929B9" w:rsidRPr="006A5A85" w:rsidRDefault="007929B9" w:rsidP="006A5A85">
      <w:pPr>
        <w:spacing w:line="360" w:lineRule="auto"/>
        <w:ind w:firstLine="480"/>
        <w:rPr>
          <w:rFonts w:ascii="宋体" w:hAnsi="宋体" w:cs="Arial"/>
          <w:kern w:val="0"/>
          <w:sz w:val="24"/>
        </w:rPr>
      </w:pPr>
      <w:r w:rsidRPr="006A5A85">
        <w:rPr>
          <w:rFonts w:ascii="宋体" w:hAnsi="宋体" w:cs="Arial" w:hint="eastAsia"/>
          <w:kern w:val="0"/>
          <w:sz w:val="24"/>
        </w:rPr>
        <w:t>基金销售服务费每日计提，按月支付。由基金管理人向基金托管人发送基金销售服务费划款指令，基金托管人复核后于次月前5个工作日内从基金财产中一次性支付，该费用按相关合同规定支付给基金销售机构。若遇法定节假日、休息日等，支付日期顺延。费用扣划后，基金管理人应进行核对，如发现数据不符，及时联系基金托管人协商解决。</w:t>
      </w:r>
    </w:p>
    <w:p w14:paraId="76778D0A" w14:textId="42FA0144" w:rsidR="003C6D7C" w:rsidRPr="006A5A85" w:rsidRDefault="003C6D7C" w:rsidP="006A5A85">
      <w:pPr>
        <w:spacing w:line="360" w:lineRule="auto"/>
        <w:ind w:firstLine="480"/>
        <w:rPr>
          <w:rFonts w:ascii="宋体" w:hAnsi="宋体" w:cs="Arial"/>
          <w:kern w:val="0"/>
          <w:sz w:val="24"/>
        </w:rPr>
      </w:pPr>
      <w:r w:rsidRPr="006A5A85">
        <w:rPr>
          <w:rFonts w:ascii="宋体" w:hAnsi="宋体" w:cs="Arial" w:hint="eastAsia"/>
          <w:kern w:val="0"/>
          <w:sz w:val="24"/>
        </w:rPr>
        <w:t>在首期支付基金管理费/销售服务费前，基金管理人应向托管人出具正式函件指定基金管理费/销售服务费的收款账户。基金管理人如需要变更此账户，应提前5个工作日向托管人出具书面的收款账户变更通知。</w:t>
      </w:r>
    </w:p>
    <w:p w14:paraId="2F009042" w14:textId="6CF10C73" w:rsidR="00553A42" w:rsidRPr="007929B9" w:rsidRDefault="00827B77" w:rsidP="006A5A85">
      <w:pPr>
        <w:spacing w:line="360" w:lineRule="auto"/>
        <w:ind w:firstLine="480"/>
        <w:rPr>
          <w:bCs/>
          <w:sz w:val="24"/>
          <w:szCs w:val="20"/>
        </w:rPr>
      </w:pPr>
      <w:r w:rsidRPr="007929B9">
        <w:rPr>
          <w:rFonts w:hint="eastAsia"/>
          <w:bCs/>
          <w:sz w:val="24"/>
          <w:szCs w:val="20"/>
        </w:rPr>
        <w:t>（八）违规处理方式</w:t>
      </w:r>
    </w:p>
    <w:p w14:paraId="150D9277" w14:textId="070CF2D8" w:rsidR="00553A42" w:rsidRDefault="00827B77" w:rsidP="006A5A85">
      <w:pPr>
        <w:widowControl/>
        <w:adjustRightInd w:val="0"/>
        <w:snapToGrid w:val="0"/>
        <w:spacing w:line="360" w:lineRule="auto"/>
        <w:ind w:firstLineChars="200" w:firstLine="480"/>
        <w:rPr>
          <w:rFonts w:ascii="彩虹粗仿宋" w:eastAsia="彩虹粗仿宋" w:hAnsi="宋体" w:cs="Arial"/>
          <w:sz w:val="24"/>
        </w:rPr>
      </w:pPr>
      <w:r w:rsidRPr="007929B9">
        <w:rPr>
          <w:rFonts w:hint="eastAsia"/>
          <w:bCs/>
          <w:sz w:val="24"/>
          <w:szCs w:val="20"/>
        </w:rPr>
        <w:t>基金托管人发现基金管理人</w:t>
      </w:r>
      <w:r>
        <w:rPr>
          <w:rFonts w:ascii="宋体" w:hAnsi="宋体" w:cs="Arial" w:hint="eastAsia"/>
          <w:kern w:val="0"/>
          <w:sz w:val="24"/>
        </w:rPr>
        <w:t>违反《基金法》、《基金合同》、《运作办法》及其他有关规定从基金财产中列支费用时，基金托管人可要求基金管理人予以说明解释，如基金管理人无正当理由，基金托管人可拒绝支付。</w:t>
      </w:r>
    </w:p>
    <w:p w14:paraId="201F0471" w14:textId="77777777" w:rsidR="00553A42" w:rsidRPr="00974AE1" w:rsidRDefault="00827B77">
      <w:pPr>
        <w:pStyle w:val="2"/>
        <w:jc w:val="center"/>
        <w:rPr>
          <w:rFonts w:asciiTheme="majorEastAsia" w:eastAsiaTheme="majorEastAsia" w:hAnsiTheme="majorEastAsia"/>
          <w:sz w:val="30"/>
        </w:rPr>
      </w:pPr>
      <w:bookmarkStart w:id="93" w:name="_Toc62934257"/>
      <w:r w:rsidRPr="00974AE1">
        <w:rPr>
          <w:rFonts w:asciiTheme="majorEastAsia" w:eastAsiaTheme="majorEastAsia" w:hAnsiTheme="majorEastAsia" w:hint="eastAsia"/>
          <w:sz w:val="30"/>
        </w:rPr>
        <w:lastRenderedPageBreak/>
        <w:t>十二、基金份额持有人名册的保管</w:t>
      </w:r>
      <w:bookmarkEnd w:id="93"/>
    </w:p>
    <w:p w14:paraId="60FA1ADF" w14:textId="4ADE1505"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w:t>
      </w:r>
      <w:r w:rsidR="00A736D5">
        <w:rPr>
          <w:rFonts w:ascii="宋体" w:hAnsi="宋体" w:cs="Arial" w:hint="eastAsia"/>
          <w:kern w:val="0"/>
          <w:sz w:val="24"/>
        </w:rPr>
        <w:t>低于法律法规规定的最低期限</w:t>
      </w:r>
      <w:r>
        <w:rPr>
          <w:rFonts w:ascii="宋体" w:hAnsi="宋体" w:cs="Arial" w:hint="eastAsia"/>
          <w:kern w:val="0"/>
          <w:sz w:val="24"/>
        </w:rPr>
        <w:t>。如不能妥善保管，则按相关法规承担责任。</w:t>
      </w:r>
    </w:p>
    <w:p w14:paraId="75E5C336" w14:textId="5A78AA0D"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在基金托管人要求或编制</w:t>
      </w:r>
      <w:r w:rsidR="00905243">
        <w:rPr>
          <w:rFonts w:ascii="宋体" w:hAnsi="宋体" w:cs="Arial" w:hint="eastAsia"/>
          <w:kern w:val="0"/>
          <w:sz w:val="24"/>
        </w:rPr>
        <w:t>中期报告</w:t>
      </w:r>
      <w:r>
        <w:rPr>
          <w:rFonts w:ascii="宋体" w:hAnsi="宋体" w:cs="Arial" w:hint="eastAsia"/>
          <w:kern w:val="0"/>
          <w:sz w:val="24"/>
        </w:rPr>
        <w:t>和</w:t>
      </w:r>
      <w:r w:rsidR="00905243">
        <w:rPr>
          <w:rFonts w:ascii="宋体" w:hAnsi="宋体" w:cs="Arial" w:hint="eastAsia"/>
          <w:kern w:val="0"/>
          <w:sz w:val="24"/>
        </w:rPr>
        <w:t>年度报告</w:t>
      </w:r>
      <w:r>
        <w:rPr>
          <w:rFonts w:ascii="宋体" w:hAnsi="宋体" w:cs="Arial" w:hint="eastAsia"/>
          <w:kern w:val="0"/>
          <w:sz w:val="24"/>
        </w:rPr>
        <w:t>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0A7EE588" w14:textId="77777777" w:rsidR="00553A42" w:rsidRDefault="00553A42">
      <w:pPr>
        <w:adjustRightInd w:val="0"/>
        <w:snapToGrid w:val="0"/>
        <w:rPr>
          <w:rFonts w:ascii="彩虹粗仿宋" w:eastAsia="彩虹粗仿宋" w:hAnsi="宋体" w:cs="Arial"/>
          <w:sz w:val="24"/>
        </w:rPr>
      </w:pPr>
    </w:p>
    <w:p w14:paraId="41385013" w14:textId="77777777" w:rsidR="00553A42" w:rsidRDefault="00553A42">
      <w:pPr>
        <w:adjustRightInd w:val="0"/>
        <w:snapToGrid w:val="0"/>
        <w:rPr>
          <w:rFonts w:ascii="彩虹粗仿宋" w:eastAsia="彩虹粗仿宋" w:hAnsi="宋体" w:cs="Arial"/>
          <w:sz w:val="24"/>
        </w:rPr>
      </w:pPr>
    </w:p>
    <w:p w14:paraId="2864AF30" w14:textId="77777777" w:rsidR="00553A42" w:rsidRDefault="00553A42">
      <w:pPr>
        <w:adjustRightInd w:val="0"/>
        <w:snapToGrid w:val="0"/>
        <w:rPr>
          <w:rFonts w:ascii="彩虹粗仿宋" w:eastAsia="彩虹粗仿宋" w:hAnsi="宋体" w:cs="Arial"/>
          <w:sz w:val="24"/>
        </w:rPr>
      </w:pPr>
    </w:p>
    <w:p w14:paraId="39A18673" w14:textId="77777777" w:rsidR="00553A42" w:rsidRDefault="00553A42">
      <w:pPr>
        <w:adjustRightInd w:val="0"/>
        <w:snapToGrid w:val="0"/>
        <w:rPr>
          <w:rFonts w:ascii="彩虹粗仿宋" w:eastAsia="彩虹粗仿宋" w:hAnsi="宋体" w:cs="Arial"/>
          <w:sz w:val="24"/>
        </w:rPr>
      </w:pPr>
    </w:p>
    <w:p w14:paraId="04AFC498" w14:textId="77777777" w:rsidR="00553A42" w:rsidRDefault="00553A42">
      <w:pPr>
        <w:adjustRightInd w:val="0"/>
        <w:snapToGrid w:val="0"/>
        <w:rPr>
          <w:rFonts w:ascii="彩虹粗仿宋" w:eastAsia="彩虹粗仿宋" w:hAnsi="宋体" w:cs="Arial"/>
          <w:sz w:val="24"/>
        </w:rPr>
      </w:pPr>
    </w:p>
    <w:p w14:paraId="6615B463" w14:textId="77777777" w:rsidR="00553A42" w:rsidRDefault="00553A42">
      <w:pPr>
        <w:adjustRightInd w:val="0"/>
        <w:snapToGrid w:val="0"/>
        <w:rPr>
          <w:rFonts w:ascii="彩虹粗仿宋" w:eastAsia="彩虹粗仿宋" w:hAnsi="宋体" w:cs="Arial"/>
          <w:sz w:val="24"/>
        </w:rPr>
      </w:pPr>
    </w:p>
    <w:p w14:paraId="69B62A81" w14:textId="77777777" w:rsidR="00553A42" w:rsidRDefault="00553A42">
      <w:pPr>
        <w:adjustRightInd w:val="0"/>
        <w:snapToGrid w:val="0"/>
        <w:rPr>
          <w:rFonts w:ascii="彩虹粗仿宋" w:eastAsia="彩虹粗仿宋" w:hAnsi="宋体" w:cs="Arial"/>
          <w:sz w:val="24"/>
        </w:rPr>
      </w:pPr>
    </w:p>
    <w:p w14:paraId="0C899053" w14:textId="77777777" w:rsidR="00553A42" w:rsidRDefault="00553A42">
      <w:pPr>
        <w:adjustRightInd w:val="0"/>
        <w:snapToGrid w:val="0"/>
        <w:rPr>
          <w:rFonts w:ascii="彩虹粗仿宋" w:eastAsia="彩虹粗仿宋" w:hAnsi="宋体" w:cs="Arial"/>
          <w:sz w:val="24"/>
        </w:rPr>
      </w:pPr>
    </w:p>
    <w:p w14:paraId="1472847D" w14:textId="77777777" w:rsidR="00553A42" w:rsidRDefault="00553A42">
      <w:pPr>
        <w:adjustRightInd w:val="0"/>
        <w:snapToGrid w:val="0"/>
        <w:rPr>
          <w:rFonts w:ascii="彩虹粗仿宋" w:eastAsia="彩虹粗仿宋" w:hAnsi="宋体" w:cs="Arial"/>
          <w:sz w:val="24"/>
        </w:rPr>
      </w:pPr>
    </w:p>
    <w:p w14:paraId="08517C11" w14:textId="77777777" w:rsidR="00553A42" w:rsidRDefault="00553A42">
      <w:pPr>
        <w:adjustRightInd w:val="0"/>
        <w:snapToGrid w:val="0"/>
        <w:rPr>
          <w:rFonts w:ascii="彩虹粗仿宋" w:eastAsia="彩虹粗仿宋" w:hAnsi="宋体" w:cs="Arial"/>
          <w:sz w:val="24"/>
        </w:rPr>
      </w:pPr>
    </w:p>
    <w:p w14:paraId="391144AF" w14:textId="77777777" w:rsidR="00553A42" w:rsidRDefault="00553A42">
      <w:pPr>
        <w:adjustRightInd w:val="0"/>
        <w:snapToGrid w:val="0"/>
        <w:rPr>
          <w:rFonts w:ascii="彩虹粗仿宋" w:eastAsia="彩虹粗仿宋" w:hAnsi="宋体" w:cs="Arial"/>
          <w:sz w:val="24"/>
        </w:rPr>
      </w:pPr>
    </w:p>
    <w:p w14:paraId="6684C35D" w14:textId="77777777" w:rsidR="00553A42" w:rsidRDefault="00553A42">
      <w:pPr>
        <w:adjustRightInd w:val="0"/>
        <w:snapToGrid w:val="0"/>
        <w:rPr>
          <w:rFonts w:ascii="彩虹粗仿宋" w:eastAsia="彩虹粗仿宋" w:hAnsi="宋体" w:cs="Arial"/>
          <w:sz w:val="24"/>
        </w:rPr>
      </w:pPr>
    </w:p>
    <w:p w14:paraId="0E47C62B" w14:textId="77777777" w:rsidR="00553A42" w:rsidRDefault="00553A42">
      <w:pPr>
        <w:adjustRightInd w:val="0"/>
        <w:snapToGrid w:val="0"/>
        <w:rPr>
          <w:rFonts w:ascii="彩虹粗仿宋" w:eastAsia="彩虹粗仿宋" w:hAnsi="宋体" w:cs="Arial"/>
          <w:sz w:val="24"/>
        </w:rPr>
      </w:pPr>
    </w:p>
    <w:p w14:paraId="728A0B00" w14:textId="77777777" w:rsidR="00553A42" w:rsidRDefault="00553A42">
      <w:pPr>
        <w:adjustRightInd w:val="0"/>
        <w:snapToGrid w:val="0"/>
        <w:rPr>
          <w:rFonts w:ascii="彩虹粗仿宋" w:eastAsia="彩虹粗仿宋" w:hAnsi="宋体" w:cs="Arial"/>
          <w:sz w:val="24"/>
        </w:rPr>
      </w:pPr>
    </w:p>
    <w:p w14:paraId="34D505B9" w14:textId="77777777" w:rsidR="00553A42" w:rsidRDefault="00553A42">
      <w:pPr>
        <w:adjustRightInd w:val="0"/>
        <w:snapToGrid w:val="0"/>
        <w:rPr>
          <w:rFonts w:ascii="彩虹粗仿宋" w:eastAsia="彩虹粗仿宋" w:hAnsi="宋体" w:cs="Arial"/>
          <w:sz w:val="24"/>
        </w:rPr>
      </w:pPr>
    </w:p>
    <w:p w14:paraId="6B495475" w14:textId="77777777" w:rsidR="00553A42" w:rsidRDefault="00553A42">
      <w:pPr>
        <w:adjustRightInd w:val="0"/>
        <w:snapToGrid w:val="0"/>
        <w:rPr>
          <w:rFonts w:ascii="彩虹粗仿宋" w:eastAsia="彩虹粗仿宋" w:hAnsi="宋体" w:cs="Arial"/>
          <w:sz w:val="24"/>
        </w:rPr>
      </w:pPr>
    </w:p>
    <w:p w14:paraId="773A0CEE" w14:textId="77777777" w:rsidR="00553A42" w:rsidRDefault="00553A42">
      <w:pPr>
        <w:adjustRightInd w:val="0"/>
        <w:snapToGrid w:val="0"/>
        <w:rPr>
          <w:rFonts w:ascii="彩虹粗仿宋" w:eastAsia="彩虹粗仿宋" w:hAnsi="宋体" w:cs="Arial"/>
          <w:sz w:val="24"/>
        </w:rPr>
      </w:pPr>
    </w:p>
    <w:p w14:paraId="090EED31" w14:textId="77777777" w:rsidR="00553A42" w:rsidRDefault="00553A42">
      <w:pPr>
        <w:adjustRightInd w:val="0"/>
        <w:snapToGrid w:val="0"/>
        <w:rPr>
          <w:rFonts w:ascii="彩虹粗仿宋" w:eastAsia="彩虹粗仿宋" w:hAnsi="宋体" w:cs="Arial"/>
          <w:sz w:val="24"/>
        </w:rPr>
      </w:pPr>
    </w:p>
    <w:p w14:paraId="1CAE257A" w14:textId="77777777" w:rsidR="00553A42" w:rsidRDefault="00553A42">
      <w:pPr>
        <w:adjustRightInd w:val="0"/>
        <w:snapToGrid w:val="0"/>
        <w:rPr>
          <w:rFonts w:ascii="彩虹粗仿宋" w:eastAsia="彩虹粗仿宋" w:hAnsi="宋体" w:cs="Arial"/>
          <w:sz w:val="24"/>
        </w:rPr>
      </w:pPr>
    </w:p>
    <w:p w14:paraId="5FE08765" w14:textId="77777777" w:rsidR="00553A42" w:rsidRDefault="00553A42">
      <w:pPr>
        <w:pStyle w:val="2"/>
        <w:jc w:val="center"/>
        <w:rPr>
          <w:rFonts w:ascii="彩虹粗仿宋" w:eastAsia="彩虹粗仿宋"/>
          <w:sz w:val="30"/>
        </w:rPr>
        <w:sectPr w:rsidR="00553A42">
          <w:pgSz w:w="11906" w:h="16838"/>
          <w:pgMar w:top="1418" w:right="1701" w:bottom="1418" w:left="1701" w:header="851" w:footer="992" w:gutter="0"/>
          <w:cols w:space="425"/>
          <w:docGrid w:type="lines" w:linePitch="312"/>
        </w:sectPr>
      </w:pPr>
    </w:p>
    <w:p w14:paraId="43B711DF" w14:textId="77777777" w:rsidR="00553A42" w:rsidRPr="00974AE1" w:rsidRDefault="00827B77">
      <w:pPr>
        <w:pStyle w:val="2"/>
        <w:jc w:val="center"/>
        <w:rPr>
          <w:rFonts w:asciiTheme="majorEastAsia" w:eastAsiaTheme="majorEastAsia" w:hAnsiTheme="majorEastAsia"/>
          <w:sz w:val="30"/>
        </w:rPr>
      </w:pPr>
      <w:bookmarkStart w:id="94" w:name="_Toc62934258"/>
      <w:r w:rsidRPr="00974AE1">
        <w:rPr>
          <w:rFonts w:asciiTheme="majorEastAsia" w:eastAsiaTheme="majorEastAsia" w:hAnsiTheme="majorEastAsia" w:hint="eastAsia"/>
          <w:sz w:val="30"/>
        </w:rPr>
        <w:lastRenderedPageBreak/>
        <w:t>十三、基金有关文件档案的保存</w:t>
      </w:r>
      <w:bookmarkEnd w:id="94"/>
    </w:p>
    <w:p w14:paraId="61356C3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（一）档案保存</w:t>
      </w:r>
    </w:p>
    <w:p w14:paraId="5985F391" w14:textId="1221E589"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w:t>
      </w:r>
      <w:r w:rsidR="00A736D5">
        <w:rPr>
          <w:rFonts w:ascii="宋体" w:hAnsi="宋体" w:cs="Arial" w:hint="eastAsia"/>
          <w:kern w:val="0"/>
          <w:sz w:val="24"/>
        </w:rPr>
        <w:t>低于法律法规规定的最低期限</w:t>
      </w:r>
      <w:r>
        <w:rPr>
          <w:rFonts w:ascii="宋体" w:hAnsi="宋体" w:cs="Arial" w:hint="eastAsia"/>
          <w:kern w:val="0"/>
          <w:sz w:val="24"/>
        </w:rPr>
        <w:t>。</w:t>
      </w:r>
    </w:p>
    <w:p w14:paraId="02DDDD3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（二）合同档案的建立</w:t>
      </w:r>
    </w:p>
    <w:p w14:paraId="147D45A7"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1.基金管理人签署重大合同文本后，应及时将合同文本正本送达基金托管人处。</w:t>
      </w:r>
    </w:p>
    <w:p w14:paraId="24E5DF01"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2.基金管理人应及时将与本基金账务处理、资金划拨等有关的合同、协议传真基金托管人。</w:t>
      </w:r>
    </w:p>
    <w:p w14:paraId="21A8F0D9"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（三）变更与协助</w:t>
      </w:r>
    </w:p>
    <w:p w14:paraId="692C733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若基金管理人/基金托管人发生变更，未变更的一方有义务协助变更后的接任人接收相应文件。</w:t>
      </w:r>
    </w:p>
    <w:p w14:paraId="32DC190C" w14:textId="396F68E0" w:rsidR="00DA29D3" w:rsidRDefault="00827B77" w:rsidP="00DA29D3">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（四）基金管理人和基金托管人应按各自职责完整保存原始凭证、记账凭证、基金账册、交易记录和重要合同等，承担保密义务并保存</w:t>
      </w:r>
      <w:r w:rsidR="00A736D5">
        <w:rPr>
          <w:rFonts w:ascii="宋体" w:hAnsi="宋体" w:cs="Arial" w:hint="eastAsia"/>
          <w:kern w:val="0"/>
          <w:sz w:val="24"/>
        </w:rPr>
        <w:t>不低于法律法规规定的最低期限</w:t>
      </w:r>
      <w:r>
        <w:rPr>
          <w:rFonts w:ascii="宋体" w:hAnsi="宋体" w:cs="Arial" w:hint="eastAsia"/>
          <w:kern w:val="0"/>
          <w:sz w:val="24"/>
        </w:rPr>
        <w:t>。</w:t>
      </w:r>
    </w:p>
    <w:p w14:paraId="21D4D12D" w14:textId="77777777" w:rsidR="00DA29D3" w:rsidRDefault="00DA29D3">
      <w:pPr>
        <w:widowControl/>
        <w:jc w:val="left"/>
        <w:rPr>
          <w:rFonts w:ascii="宋体" w:hAnsi="宋体" w:cs="Arial"/>
          <w:kern w:val="0"/>
          <w:sz w:val="24"/>
        </w:rPr>
      </w:pPr>
      <w:r>
        <w:rPr>
          <w:rFonts w:ascii="宋体" w:hAnsi="宋体" w:cs="Arial"/>
          <w:kern w:val="0"/>
          <w:sz w:val="24"/>
        </w:rPr>
        <w:br w:type="page"/>
      </w:r>
    </w:p>
    <w:p w14:paraId="02EB3ECC" w14:textId="77777777" w:rsidR="00553A42" w:rsidRPr="00DA29D3" w:rsidRDefault="00553A42" w:rsidP="00DA29D3">
      <w:pPr>
        <w:widowControl/>
        <w:adjustRightInd w:val="0"/>
        <w:snapToGrid w:val="0"/>
        <w:spacing w:line="360" w:lineRule="auto"/>
        <w:ind w:firstLineChars="200" w:firstLine="480"/>
        <w:rPr>
          <w:rFonts w:ascii="宋体" w:hAnsi="宋体" w:cs="Arial"/>
          <w:kern w:val="0"/>
          <w:sz w:val="24"/>
        </w:rPr>
      </w:pPr>
    </w:p>
    <w:p w14:paraId="26744891" w14:textId="77777777" w:rsidR="00553A42" w:rsidRPr="00974AE1" w:rsidRDefault="00827B77">
      <w:pPr>
        <w:pStyle w:val="2"/>
        <w:jc w:val="center"/>
        <w:rPr>
          <w:rFonts w:asciiTheme="minorEastAsia" w:eastAsiaTheme="minorEastAsia" w:hAnsiTheme="minorEastAsia"/>
          <w:sz w:val="30"/>
        </w:rPr>
      </w:pPr>
      <w:bookmarkStart w:id="95" w:name="_Toc62934259"/>
      <w:r w:rsidRPr="00974AE1">
        <w:rPr>
          <w:rFonts w:asciiTheme="minorEastAsia" w:eastAsiaTheme="minorEastAsia" w:hAnsiTheme="minorEastAsia" w:hint="eastAsia"/>
          <w:sz w:val="30"/>
        </w:rPr>
        <w:t>十四、基金管理人和基金托管人的更换</w:t>
      </w:r>
      <w:bookmarkEnd w:id="95"/>
    </w:p>
    <w:p w14:paraId="5610B37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（一）基金管理人职责终止的情形</w:t>
      </w:r>
    </w:p>
    <w:p w14:paraId="59C11546"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1.基金管理人职责终止的情形</w:t>
      </w:r>
    </w:p>
    <w:p w14:paraId="5F59F7B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有下列情形之一的，基金管理人职责终止：</w:t>
      </w:r>
    </w:p>
    <w:p w14:paraId="198221A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(1)被依法取消基金管理资格；</w:t>
      </w:r>
    </w:p>
    <w:p w14:paraId="305186D1"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(2)依法解散、被依法撤销或被依法宣告破产；</w:t>
      </w:r>
    </w:p>
    <w:p w14:paraId="42ADCB87"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(3)被基金份额持有人大会解任；</w:t>
      </w:r>
    </w:p>
    <w:p w14:paraId="2065DE7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(4)法律法规及中国证监会规定的和《基金合同》约定的其他情形。</w:t>
      </w:r>
    </w:p>
    <w:p w14:paraId="7F13A489"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2.基金管理人的更换程序</w:t>
      </w:r>
    </w:p>
    <w:p w14:paraId="2F9C15E7"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更换基金管理人必须依照如下程序进行：</w:t>
      </w:r>
    </w:p>
    <w:p w14:paraId="12011BC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(1)提名：新任基金管理人由基金托管人或由单独或合计持有10%以上(含10%)基金份额的基金份额持有人提名；</w:t>
      </w:r>
    </w:p>
    <w:p w14:paraId="4F9296F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(2)决议：基金份额持有人大会在基金管理人职责终止后6个月内对被提名的基金管理人形成决议，该决议需经参加大会的基金份额持有人所持表决权的三分之二以上(含三分之二)表决通过；</w:t>
      </w:r>
    </w:p>
    <w:p w14:paraId="45B6C2D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(3)临时基金管理人：新任基金管理人产生之前，由中国证监会指定临时基金管理人；</w:t>
      </w:r>
    </w:p>
    <w:p w14:paraId="0F5CCF81"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(4)备案：基金份额持有人大会选任基金管理人的决议须报中国证监会备案；</w:t>
      </w:r>
    </w:p>
    <w:p w14:paraId="769139D6" w14:textId="02172462"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(5)公告：基金管理人更换后，由基金托管人在更换基金管理人的基金份额持有人大会决议生效后2日内在</w:t>
      </w:r>
      <w:r w:rsidR="00A903F4">
        <w:rPr>
          <w:rFonts w:ascii="宋体" w:hAnsi="宋体" w:cs="Arial" w:hint="eastAsia"/>
          <w:kern w:val="0"/>
          <w:sz w:val="24"/>
        </w:rPr>
        <w:t>规定媒介</w:t>
      </w:r>
      <w:r>
        <w:rPr>
          <w:rFonts w:ascii="宋体" w:hAnsi="宋体" w:cs="Arial" w:hint="eastAsia"/>
          <w:kern w:val="0"/>
          <w:sz w:val="24"/>
        </w:rPr>
        <w:t>公告；</w:t>
      </w:r>
    </w:p>
    <w:p w14:paraId="3C64CCD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02141986"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(7)审计：基金管理人职责终止的，应当按照法律法规规定聘请会计师事务所对基金财产进行审计，并将审计结果予以公告，同时报中国证监会备案；</w:t>
      </w:r>
    </w:p>
    <w:p w14:paraId="5823D7F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(8)基金名称变更：基金管理人更换后，如果原任或新任基金管理人要求，应按其要求替换或删除基金名称中与原基金管理人有关的名称字样。</w:t>
      </w:r>
    </w:p>
    <w:p w14:paraId="7221C220"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（二）基金托管人职责终止的情形</w:t>
      </w:r>
    </w:p>
    <w:p w14:paraId="142145D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1.基金托管人职责终止的情形</w:t>
      </w:r>
    </w:p>
    <w:p w14:paraId="5B80A7C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有下列情形之一的，基金托管人职责终止：</w:t>
      </w:r>
    </w:p>
    <w:p w14:paraId="71B0C43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(1)被依法取消基金托管资格；</w:t>
      </w:r>
    </w:p>
    <w:p w14:paraId="2563A2A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(2)依法解散、被依法撤销或被依法宣告破产；</w:t>
      </w:r>
    </w:p>
    <w:p w14:paraId="7A62ED0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(3)被基金份额持有人大会解任；</w:t>
      </w:r>
    </w:p>
    <w:p w14:paraId="402D018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(4)法律法规及中国证监会规定的和《基金合同》约定的其他情形。</w:t>
      </w:r>
    </w:p>
    <w:p w14:paraId="199FC6C0"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2.基金托管人的更换程序</w:t>
      </w:r>
    </w:p>
    <w:p w14:paraId="2198642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(1)提名：新任基金托管人由基金管理人或由单独或合计持有10%以上(含10%)基金份额的基金份额持有人提名；</w:t>
      </w:r>
    </w:p>
    <w:p w14:paraId="6E47130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(2)决议：基金份额持有人大会在基金托管人职责终止后6个月内对被提名的基金托管人形成决议，该决议需经参加大会的基金份额持有人所持表决权的三分之二以上(含三分之二)表决通过；</w:t>
      </w:r>
    </w:p>
    <w:p w14:paraId="37B275E6"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(3)临时基金托管人：新任基金托管人产生之前，由中国证监会指定临时基金托管人；</w:t>
      </w:r>
    </w:p>
    <w:p w14:paraId="5461B76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(4)备案：基金份额持有人大会更换基金托管人的决议须报中国证监会备案；</w:t>
      </w:r>
    </w:p>
    <w:p w14:paraId="43C66CEC" w14:textId="4CDB7042"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(5)公告：基金托管人更换后，由基金管理人在更换基金托管人的基金份额持有人大会决议生效后 2日内在</w:t>
      </w:r>
      <w:r w:rsidR="00A903F4">
        <w:rPr>
          <w:rFonts w:ascii="宋体" w:hAnsi="宋体" w:cs="Arial" w:hint="eastAsia"/>
          <w:kern w:val="0"/>
          <w:sz w:val="24"/>
        </w:rPr>
        <w:t>规定媒介</w:t>
      </w:r>
      <w:r>
        <w:rPr>
          <w:rFonts w:ascii="宋体" w:hAnsi="宋体" w:cs="Arial" w:hint="eastAsia"/>
          <w:kern w:val="0"/>
          <w:sz w:val="24"/>
        </w:rPr>
        <w:t>公告；</w:t>
      </w:r>
    </w:p>
    <w:p w14:paraId="2E4D668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6A63769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(7)审计：基金托管人职责终止的，应当按照法律法规规定聘请会计师事务所对基金财产进行审计，并将审计结果予以公告，同时报中国证监会备案。</w:t>
      </w:r>
    </w:p>
    <w:p w14:paraId="04C8D95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（三）基金管理人与基金托管人同时更换的条件和程序</w:t>
      </w:r>
    </w:p>
    <w:p w14:paraId="2845D231"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1.提名：如果基金管理人和基金托管人同时更换，由单独或合计持有基金总份额10%以上(含10%)的基金份额持有人提名新的基金管理人和基金托管人；</w:t>
      </w:r>
    </w:p>
    <w:p w14:paraId="199D6C8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2.基金管理人和基金托管人的更换分别按上述程序进行；</w:t>
      </w:r>
    </w:p>
    <w:p w14:paraId="47586E60" w14:textId="196E77B6"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3.公告：新任基金管理人和新任基金托管人应在更换基金管理人和基金托管人的基金份额持有人大会决议生效后2日内在</w:t>
      </w:r>
      <w:r w:rsidR="00A903F4">
        <w:rPr>
          <w:rFonts w:ascii="宋体" w:hAnsi="宋体" w:cs="Arial" w:hint="eastAsia"/>
          <w:kern w:val="0"/>
          <w:sz w:val="24"/>
        </w:rPr>
        <w:t>规定媒介</w:t>
      </w:r>
      <w:r>
        <w:rPr>
          <w:rFonts w:ascii="宋体" w:hAnsi="宋体" w:cs="Arial" w:hint="eastAsia"/>
          <w:kern w:val="0"/>
          <w:sz w:val="24"/>
        </w:rPr>
        <w:t>上联合公告。</w:t>
      </w:r>
    </w:p>
    <w:p w14:paraId="268F26B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5CCD7CD8" w14:textId="77777777" w:rsidR="00553A42" w:rsidRDefault="00553A42">
      <w:pPr>
        <w:adjustRightInd w:val="0"/>
        <w:snapToGrid w:val="0"/>
        <w:rPr>
          <w:rFonts w:ascii="彩虹粗仿宋" w:eastAsia="彩虹粗仿宋" w:hAnsi="宋体" w:cs="Arial"/>
          <w:sz w:val="24"/>
        </w:rPr>
      </w:pPr>
    </w:p>
    <w:p w14:paraId="523B4B0D" w14:textId="77777777" w:rsidR="00553A42" w:rsidRDefault="00553A42">
      <w:pPr>
        <w:adjustRightInd w:val="0"/>
        <w:snapToGrid w:val="0"/>
        <w:rPr>
          <w:rFonts w:ascii="彩虹粗仿宋" w:eastAsia="彩虹粗仿宋" w:hAnsi="宋体" w:cs="Arial"/>
          <w:sz w:val="24"/>
        </w:rPr>
      </w:pPr>
    </w:p>
    <w:p w14:paraId="47BB10BB" w14:textId="77777777" w:rsidR="00553A42" w:rsidRDefault="00553A42">
      <w:pPr>
        <w:adjustRightInd w:val="0"/>
        <w:snapToGrid w:val="0"/>
        <w:rPr>
          <w:rFonts w:ascii="彩虹粗仿宋" w:eastAsia="彩虹粗仿宋" w:hAnsi="宋体" w:cs="Arial"/>
          <w:sz w:val="24"/>
        </w:rPr>
      </w:pPr>
    </w:p>
    <w:p w14:paraId="6E7DBC0F" w14:textId="77777777" w:rsidR="00553A42" w:rsidRDefault="00553A42">
      <w:pPr>
        <w:adjustRightInd w:val="0"/>
        <w:snapToGrid w:val="0"/>
        <w:rPr>
          <w:rFonts w:ascii="彩虹粗仿宋" w:eastAsia="彩虹粗仿宋" w:hAnsi="宋体" w:cs="Arial"/>
          <w:sz w:val="24"/>
        </w:rPr>
      </w:pPr>
    </w:p>
    <w:p w14:paraId="68A47B64" w14:textId="77777777" w:rsidR="00553A42" w:rsidRDefault="00553A42">
      <w:pPr>
        <w:adjustRightInd w:val="0"/>
        <w:snapToGrid w:val="0"/>
        <w:rPr>
          <w:rFonts w:ascii="彩虹粗仿宋" w:eastAsia="彩虹粗仿宋" w:hAnsi="宋体" w:cs="Arial"/>
          <w:sz w:val="24"/>
        </w:rPr>
      </w:pPr>
    </w:p>
    <w:p w14:paraId="091E938F" w14:textId="77777777" w:rsidR="00553A42" w:rsidRDefault="00553A42">
      <w:pPr>
        <w:adjustRightInd w:val="0"/>
        <w:snapToGrid w:val="0"/>
        <w:rPr>
          <w:rFonts w:ascii="彩虹粗仿宋" w:eastAsia="彩虹粗仿宋" w:hAnsi="宋体" w:cs="Arial"/>
          <w:sz w:val="24"/>
        </w:rPr>
      </w:pPr>
    </w:p>
    <w:p w14:paraId="750F7B76" w14:textId="77777777" w:rsidR="00553A42" w:rsidRDefault="00553A42">
      <w:pPr>
        <w:adjustRightInd w:val="0"/>
        <w:snapToGrid w:val="0"/>
        <w:rPr>
          <w:rFonts w:ascii="彩虹粗仿宋" w:eastAsia="彩虹粗仿宋" w:hAnsi="宋体" w:cs="Arial"/>
          <w:sz w:val="24"/>
        </w:rPr>
      </w:pPr>
    </w:p>
    <w:p w14:paraId="6E0045A4" w14:textId="77777777" w:rsidR="00553A42" w:rsidRDefault="00553A42">
      <w:pPr>
        <w:adjustRightInd w:val="0"/>
        <w:snapToGrid w:val="0"/>
        <w:rPr>
          <w:rFonts w:ascii="彩虹粗仿宋" w:eastAsia="彩虹粗仿宋" w:hAnsi="宋体" w:cs="Arial"/>
          <w:sz w:val="24"/>
        </w:rPr>
      </w:pPr>
    </w:p>
    <w:p w14:paraId="1B7C9473" w14:textId="77777777" w:rsidR="00553A42" w:rsidRDefault="00553A42">
      <w:pPr>
        <w:adjustRightInd w:val="0"/>
        <w:snapToGrid w:val="0"/>
        <w:rPr>
          <w:rFonts w:ascii="彩虹粗仿宋" w:eastAsia="彩虹粗仿宋" w:hAnsi="宋体" w:cs="Arial"/>
          <w:sz w:val="24"/>
        </w:rPr>
      </w:pPr>
    </w:p>
    <w:p w14:paraId="1557BA99" w14:textId="77777777" w:rsidR="00553A42" w:rsidRDefault="00553A42">
      <w:pPr>
        <w:adjustRightInd w:val="0"/>
        <w:snapToGrid w:val="0"/>
        <w:rPr>
          <w:rFonts w:ascii="彩虹粗仿宋" w:eastAsia="彩虹粗仿宋" w:hAnsi="宋体" w:cs="Arial"/>
          <w:sz w:val="24"/>
        </w:rPr>
      </w:pPr>
    </w:p>
    <w:p w14:paraId="619E499C" w14:textId="77777777" w:rsidR="00553A42" w:rsidRDefault="00553A42">
      <w:pPr>
        <w:adjustRightInd w:val="0"/>
        <w:snapToGrid w:val="0"/>
        <w:rPr>
          <w:rFonts w:ascii="彩虹粗仿宋" w:eastAsia="彩虹粗仿宋" w:hAnsi="宋体" w:cs="Arial"/>
          <w:sz w:val="24"/>
        </w:rPr>
      </w:pPr>
    </w:p>
    <w:p w14:paraId="107AD132" w14:textId="77777777" w:rsidR="00553A42" w:rsidRDefault="00553A42">
      <w:pPr>
        <w:adjustRightInd w:val="0"/>
        <w:snapToGrid w:val="0"/>
        <w:rPr>
          <w:rFonts w:ascii="彩虹粗仿宋" w:eastAsia="彩虹粗仿宋" w:hAnsi="宋体" w:cs="Arial"/>
          <w:sz w:val="24"/>
        </w:rPr>
      </w:pPr>
    </w:p>
    <w:p w14:paraId="52B837BD" w14:textId="77777777" w:rsidR="00553A42" w:rsidRDefault="00553A42">
      <w:pPr>
        <w:adjustRightInd w:val="0"/>
        <w:snapToGrid w:val="0"/>
        <w:rPr>
          <w:rFonts w:ascii="彩虹粗仿宋" w:eastAsia="彩虹粗仿宋" w:hAnsi="宋体" w:cs="Arial"/>
          <w:sz w:val="24"/>
        </w:rPr>
      </w:pPr>
    </w:p>
    <w:p w14:paraId="003F3FEE" w14:textId="77777777" w:rsidR="00553A42" w:rsidRDefault="00553A42">
      <w:pPr>
        <w:adjustRightInd w:val="0"/>
        <w:snapToGrid w:val="0"/>
        <w:rPr>
          <w:rFonts w:ascii="彩虹粗仿宋" w:eastAsia="彩虹粗仿宋" w:hAnsi="宋体" w:cs="Arial"/>
          <w:sz w:val="24"/>
        </w:rPr>
      </w:pPr>
    </w:p>
    <w:p w14:paraId="15844104" w14:textId="77777777" w:rsidR="00553A42" w:rsidRDefault="00553A42">
      <w:pPr>
        <w:adjustRightInd w:val="0"/>
        <w:snapToGrid w:val="0"/>
        <w:rPr>
          <w:rFonts w:ascii="彩虹粗仿宋" w:eastAsia="彩虹粗仿宋" w:hAnsi="宋体" w:cs="Arial"/>
          <w:sz w:val="24"/>
        </w:rPr>
      </w:pPr>
    </w:p>
    <w:p w14:paraId="0DBEE8BC" w14:textId="77777777" w:rsidR="00553A42" w:rsidRDefault="00553A42">
      <w:pPr>
        <w:adjustRightInd w:val="0"/>
        <w:snapToGrid w:val="0"/>
        <w:rPr>
          <w:rFonts w:ascii="彩虹粗仿宋" w:eastAsia="彩虹粗仿宋" w:hAnsi="宋体" w:cs="Arial"/>
          <w:sz w:val="24"/>
        </w:rPr>
      </w:pPr>
    </w:p>
    <w:p w14:paraId="6FF33191" w14:textId="77777777" w:rsidR="00553A42" w:rsidRDefault="00553A42">
      <w:pPr>
        <w:adjustRightInd w:val="0"/>
        <w:snapToGrid w:val="0"/>
        <w:rPr>
          <w:rFonts w:ascii="彩虹粗仿宋" w:eastAsia="彩虹粗仿宋" w:hAnsi="宋体" w:cs="Arial"/>
          <w:sz w:val="24"/>
        </w:rPr>
      </w:pPr>
    </w:p>
    <w:p w14:paraId="5FC17FB1" w14:textId="77777777" w:rsidR="00553A42" w:rsidRDefault="00553A42">
      <w:pPr>
        <w:adjustRightInd w:val="0"/>
        <w:snapToGrid w:val="0"/>
        <w:rPr>
          <w:rFonts w:ascii="彩虹粗仿宋" w:eastAsia="彩虹粗仿宋" w:hAnsi="宋体" w:cs="Arial"/>
          <w:sz w:val="24"/>
        </w:rPr>
      </w:pPr>
    </w:p>
    <w:p w14:paraId="1D4C8AA3" w14:textId="77777777" w:rsidR="00553A42" w:rsidRDefault="00553A42">
      <w:pPr>
        <w:adjustRightInd w:val="0"/>
        <w:snapToGrid w:val="0"/>
        <w:rPr>
          <w:rFonts w:ascii="彩虹粗仿宋" w:eastAsia="彩虹粗仿宋" w:hAnsi="宋体" w:cs="Arial"/>
          <w:sz w:val="24"/>
        </w:rPr>
      </w:pPr>
    </w:p>
    <w:p w14:paraId="1C6F40D2" w14:textId="77777777" w:rsidR="00553A42" w:rsidRDefault="00553A42">
      <w:pPr>
        <w:adjustRightInd w:val="0"/>
        <w:snapToGrid w:val="0"/>
        <w:rPr>
          <w:rFonts w:ascii="彩虹粗仿宋" w:eastAsia="彩虹粗仿宋" w:hAnsi="宋体" w:cs="Arial"/>
          <w:sz w:val="24"/>
        </w:rPr>
      </w:pPr>
    </w:p>
    <w:p w14:paraId="73167534" w14:textId="77777777" w:rsidR="00553A42" w:rsidRDefault="00553A42">
      <w:pPr>
        <w:adjustRightInd w:val="0"/>
        <w:snapToGrid w:val="0"/>
        <w:rPr>
          <w:rFonts w:ascii="彩虹粗仿宋" w:eastAsia="彩虹粗仿宋" w:hAnsi="宋体" w:cs="Arial"/>
          <w:sz w:val="24"/>
        </w:rPr>
      </w:pPr>
    </w:p>
    <w:p w14:paraId="3F9B3F95" w14:textId="77777777" w:rsidR="00553A42" w:rsidRDefault="00553A42">
      <w:pPr>
        <w:adjustRightInd w:val="0"/>
        <w:snapToGrid w:val="0"/>
        <w:rPr>
          <w:rFonts w:ascii="彩虹粗仿宋" w:eastAsia="彩虹粗仿宋" w:hAnsi="宋体" w:cs="Arial"/>
          <w:sz w:val="24"/>
        </w:rPr>
      </w:pPr>
    </w:p>
    <w:p w14:paraId="41E2FBFD" w14:textId="77777777" w:rsidR="00553A42" w:rsidRDefault="00553A42">
      <w:pPr>
        <w:adjustRightInd w:val="0"/>
        <w:snapToGrid w:val="0"/>
        <w:rPr>
          <w:rFonts w:ascii="彩虹粗仿宋" w:eastAsia="彩虹粗仿宋" w:hAnsi="宋体" w:cs="Arial"/>
          <w:sz w:val="24"/>
        </w:rPr>
      </w:pPr>
    </w:p>
    <w:p w14:paraId="3BE9EFFA" w14:textId="77777777" w:rsidR="00553A42" w:rsidRDefault="00553A42">
      <w:pPr>
        <w:adjustRightInd w:val="0"/>
        <w:snapToGrid w:val="0"/>
        <w:rPr>
          <w:rFonts w:ascii="彩虹粗仿宋" w:eastAsia="彩虹粗仿宋" w:hAnsi="宋体" w:cs="Arial"/>
          <w:sz w:val="24"/>
        </w:rPr>
      </w:pPr>
    </w:p>
    <w:p w14:paraId="18A82636" w14:textId="77777777" w:rsidR="00553A42" w:rsidRDefault="00553A42">
      <w:pPr>
        <w:adjustRightInd w:val="0"/>
        <w:snapToGrid w:val="0"/>
        <w:rPr>
          <w:rFonts w:ascii="彩虹粗仿宋" w:eastAsia="彩虹粗仿宋" w:hAnsi="宋体" w:cs="Arial"/>
          <w:sz w:val="24"/>
        </w:rPr>
      </w:pPr>
    </w:p>
    <w:p w14:paraId="05CE97AC" w14:textId="77777777" w:rsidR="00553A42" w:rsidRDefault="00553A42">
      <w:pPr>
        <w:adjustRightInd w:val="0"/>
        <w:snapToGrid w:val="0"/>
        <w:rPr>
          <w:rFonts w:ascii="彩虹粗仿宋" w:eastAsia="彩虹粗仿宋" w:hAnsi="宋体" w:cs="Arial"/>
          <w:sz w:val="24"/>
        </w:rPr>
      </w:pPr>
    </w:p>
    <w:p w14:paraId="619D61D9" w14:textId="77777777" w:rsidR="00553A42" w:rsidRDefault="00553A42">
      <w:pPr>
        <w:adjustRightInd w:val="0"/>
        <w:snapToGrid w:val="0"/>
        <w:rPr>
          <w:rFonts w:ascii="彩虹粗仿宋" w:eastAsia="彩虹粗仿宋" w:hAnsi="宋体" w:cs="Arial"/>
          <w:sz w:val="24"/>
        </w:rPr>
      </w:pPr>
    </w:p>
    <w:p w14:paraId="6DBF9CCB" w14:textId="77777777" w:rsidR="00553A42" w:rsidRDefault="00553A42">
      <w:pPr>
        <w:pStyle w:val="2"/>
        <w:jc w:val="center"/>
        <w:rPr>
          <w:rFonts w:ascii="彩虹粗仿宋" w:eastAsia="彩虹粗仿宋"/>
          <w:sz w:val="30"/>
        </w:rPr>
        <w:sectPr w:rsidR="00553A42">
          <w:pgSz w:w="11906" w:h="16838"/>
          <w:pgMar w:top="1418" w:right="1701" w:bottom="1418" w:left="1701" w:header="851" w:footer="992" w:gutter="0"/>
          <w:cols w:space="425"/>
          <w:docGrid w:type="lines" w:linePitch="312"/>
        </w:sectPr>
      </w:pPr>
    </w:p>
    <w:p w14:paraId="6AEF0537" w14:textId="77777777" w:rsidR="00553A42" w:rsidRPr="00974AE1" w:rsidRDefault="00827B77">
      <w:pPr>
        <w:pStyle w:val="2"/>
        <w:jc w:val="center"/>
        <w:rPr>
          <w:rFonts w:asciiTheme="majorEastAsia" w:eastAsiaTheme="majorEastAsia" w:hAnsiTheme="majorEastAsia"/>
          <w:sz w:val="30"/>
        </w:rPr>
      </w:pPr>
      <w:bookmarkStart w:id="96" w:name="_Toc62934260"/>
      <w:r w:rsidRPr="00974AE1">
        <w:rPr>
          <w:rFonts w:asciiTheme="majorEastAsia" w:eastAsiaTheme="majorEastAsia" w:hAnsiTheme="majorEastAsia" w:hint="eastAsia"/>
          <w:sz w:val="30"/>
        </w:rPr>
        <w:lastRenderedPageBreak/>
        <w:t>十五、禁止行为</w:t>
      </w:r>
      <w:bookmarkEnd w:id="96"/>
    </w:p>
    <w:p w14:paraId="6EA7F75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本协议当事人禁止从事的行为，包括但不限于：</w:t>
      </w:r>
    </w:p>
    <w:p w14:paraId="3CC938F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（一）基金管理人、基金托管人将其固有财产或者他人财产混同于基金财产从事证券投资。</w:t>
      </w:r>
    </w:p>
    <w:p w14:paraId="0E9A827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（二）基金管理人不公平地对待其管理的不同基金财产，基金托管人不公平地对待其托管的不同基金财产。</w:t>
      </w:r>
    </w:p>
    <w:p w14:paraId="588CE8C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（三）基金管理人、基金托管人利用基金财产为基金份额持有人以外的第三人牟取利益。</w:t>
      </w:r>
    </w:p>
    <w:p w14:paraId="30CBCFD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（四）基金管理人、基金托管人向基金份额持有人违规承诺收益或者承担损失。</w:t>
      </w:r>
    </w:p>
    <w:p w14:paraId="15F092D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（五）基金管理人、基金托管人对他人泄漏基金运作和管理过程中任何尚未按法律法规规定的方式公开披露的信息。</w:t>
      </w:r>
    </w:p>
    <w:p w14:paraId="493E1CF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（六）基金管理人在没有充足资金的情况下向基金托管人发出投资指令和赎回资金的划拨指令，或违规向基金托管人发出指令。</w:t>
      </w:r>
    </w:p>
    <w:p w14:paraId="6EEB22C6"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（七）基金管理人、基金托管人在行政上、财务上不独立, 其高级管理人员和其他从业人员相互兼职。</w:t>
      </w:r>
    </w:p>
    <w:p w14:paraId="4DA1F25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（八）基金托管人私自动用或处分基金财产，根据基金管理人的合法指令、《基金合同》或托管协议的规定进行处分的除外。</w:t>
      </w:r>
    </w:p>
    <w:p w14:paraId="58DB3A3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 法律、行政法规和中国证监会规定禁止的其他活动。法律</w:t>
      </w:r>
      <w:r>
        <w:rPr>
          <w:rFonts w:ascii="宋体" w:hAnsi="宋体" w:cs="Arial" w:hint="eastAsia"/>
          <w:bCs/>
          <w:kern w:val="0"/>
          <w:sz w:val="24"/>
        </w:rPr>
        <w:t>、行政</w:t>
      </w:r>
      <w:r>
        <w:rPr>
          <w:rFonts w:ascii="宋体" w:hAnsi="宋体" w:cs="Arial" w:hint="eastAsia"/>
          <w:kern w:val="0"/>
          <w:sz w:val="24"/>
        </w:rPr>
        <w:t>法规或监管部门取消或变更上述限制，如适用于本基金</w:t>
      </w:r>
      <w:r>
        <w:rPr>
          <w:rFonts w:ascii="宋体" w:hAnsi="宋体" w:cs="Arial" w:hint="eastAsia"/>
          <w:bCs/>
          <w:kern w:val="0"/>
          <w:sz w:val="24"/>
        </w:rPr>
        <w:t>基金管理人在履行适当程序后</w:t>
      </w:r>
      <w:r>
        <w:rPr>
          <w:rFonts w:ascii="宋体" w:hAnsi="宋体" w:cs="Arial" w:hint="eastAsia"/>
          <w:kern w:val="0"/>
          <w:sz w:val="24"/>
        </w:rPr>
        <w:t>，则本基金投资不再受相关限制或以变更后的规定为准。</w:t>
      </w:r>
    </w:p>
    <w:p w14:paraId="6D56244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（十）法律法规和《基金合同》禁止的其他行为，以及法律、行政法规和中国证监会规定禁止基金管理人、基金托管人从事的其他行为。</w:t>
      </w:r>
    </w:p>
    <w:p w14:paraId="1CBB9EA1" w14:textId="77777777" w:rsidR="00553A42" w:rsidRDefault="00553A42">
      <w:pPr>
        <w:adjustRightInd w:val="0"/>
        <w:snapToGrid w:val="0"/>
        <w:rPr>
          <w:rFonts w:ascii="彩虹粗仿宋" w:eastAsia="彩虹粗仿宋"/>
          <w:sz w:val="30"/>
          <w:szCs w:val="30"/>
        </w:rPr>
      </w:pPr>
    </w:p>
    <w:p w14:paraId="64C13551" w14:textId="77777777" w:rsidR="00553A42" w:rsidRPr="00974AE1" w:rsidRDefault="00827B77">
      <w:pPr>
        <w:pStyle w:val="2"/>
        <w:jc w:val="center"/>
        <w:rPr>
          <w:rFonts w:asciiTheme="majorEastAsia" w:eastAsiaTheme="majorEastAsia" w:hAnsiTheme="majorEastAsia"/>
          <w:sz w:val="30"/>
        </w:rPr>
      </w:pPr>
      <w:bookmarkStart w:id="97" w:name="_Toc62934261"/>
      <w:r w:rsidRPr="00974AE1">
        <w:rPr>
          <w:rFonts w:asciiTheme="majorEastAsia" w:eastAsiaTheme="majorEastAsia" w:hAnsiTheme="majorEastAsia" w:hint="eastAsia"/>
          <w:sz w:val="30"/>
        </w:rPr>
        <w:lastRenderedPageBreak/>
        <w:t>十六、托管协议的变更、终止与基金财产的清算</w:t>
      </w:r>
      <w:bookmarkEnd w:id="97"/>
    </w:p>
    <w:p w14:paraId="6327526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（一）托管协议的变更程序</w:t>
      </w:r>
    </w:p>
    <w:p w14:paraId="7691C59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本协议双方当事人经协商一致，可以对协议进行修改。修改后的新协议，其内容不得与《基金合同》的规定有任何冲突。基金托管协议的变更应报中国证监会备案。</w:t>
      </w:r>
    </w:p>
    <w:p w14:paraId="5155E8D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（二）基金托管协议终止出现的情形</w:t>
      </w:r>
    </w:p>
    <w:p w14:paraId="67D2D99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1.《基金合同》终止；</w:t>
      </w:r>
    </w:p>
    <w:p w14:paraId="1EF38E3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2.基金托管人解散、依法被撤销、破产或由其他基金托管人接管基金资产；</w:t>
      </w:r>
    </w:p>
    <w:p w14:paraId="00A3AB9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3.基金管理人解散、依法被撤销、破产或由其他基金管理人接管基金管理权；</w:t>
      </w:r>
    </w:p>
    <w:p w14:paraId="21F9E6D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4.发生法律法规或《基金合同》规定的终止事项。</w:t>
      </w:r>
    </w:p>
    <w:p w14:paraId="0B19A80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（三）基金财产的清算</w:t>
      </w:r>
    </w:p>
    <w:p w14:paraId="7250561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1.基金财产清算小组：自出现《基金合同》终止事由之日起30个工作日内成立清算小组，基金管理人组织基金财产清算小组并在中国证监会的监督下进行基金清算。</w:t>
      </w:r>
    </w:p>
    <w:p w14:paraId="0F04B43A" w14:textId="3DF34288"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2.基金财产清算小组组成：基金财产清算小组成员由基金管理人、基金托管人、具有</w:t>
      </w:r>
      <w:r w:rsidR="00A70CE8">
        <w:rPr>
          <w:rFonts w:asciiTheme="minorEastAsia" w:eastAsiaTheme="minorEastAsia" w:hAnsiTheme="minorEastAsia" w:cs="Arial" w:hint="eastAsia"/>
          <w:kern w:val="0"/>
          <w:sz w:val="24"/>
        </w:rPr>
        <w:t>符合《中华人民共和国证券法》规定</w:t>
      </w:r>
      <w:r>
        <w:rPr>
          <w:rFonts w:ascii="宋体" w:hAnsi="宋体" w:cs="Arial" w:hint="eastAsia"/>
          <w:kern w:val="0"/>
          <w:sz w:val="24"/>
        </w:rPr>
        <w:t>的注册会计师、律师以及中国证监会指定的人员组成。基金财产清算小组可以聘用必要的工作人员。</w:t>
      </w:r>
    </w:p>
    <w:p w14:paraId="4282BF8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3.基金财产清算小组职责：基金财产清算小组负责基金财产的保管、清理、估价、变现和分配。基金财产清算小组可以依法进行必要的民事活动。</w:t>
      </w:r>
    </w:p>
    <w:p w14:paraId="2CFB840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4.基金财产清算程序：</w:t>
      </w:r>
    </w:p>
    <w:p w14:paraId="4805BBE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(1)《基金合同》终止情形出现时，由基金财产清算小组统一接管基金；</w:t>
      </w:r>
    </w:p>
    <w:p w14:paraId="1F06EE01"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(2)对基金财产和债权债务进行清理和确认；</w:t>
      </w:r>
    </w:p>
    <w:p w14:paraId="67E568B7"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(3)对基金财产进行估值和变现；</w:t>
      </w:r>
    </w:p>
    <w:p w14:paraId="66EF11D7"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(4)制作清算报告；</w:t>
      </w:r>
    </w:p>
    <w:p w14:paraId="7C8C4B61"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(5)聘请会计师事务所对清算报告进行外部审计，聘请律师事务所对清算报告出具法律意见书；</w:t>
      </w:r>
    </w:p>
    <w:p w14:paraId="2D34C61F"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(6)将清算结果报中国证监会备案并公告；</w:t>
      </w:r>
    </w:p>
    <w:p w14:paraId="5CA14CBB"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(7)对基金剩余财产进行分配。</w:t>
      </w:r>
    </w:p>
    <w:p w14:paraId="330987FD" w14:textId="7428CBCA"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lastRenderedPageBreak/>
        <w:t>5.基金财产清算的期限为6个月</w:t>
      </w:r>
      <w:r w:rsidR="00905243" w:rsidRPr="00905243">
        <w:rPr>
          <w:rFonts w:ascii="宋体" w:hAnsi="宋体" w:cs="Arial" w:hint="eastAsia"/>
          <w:kern w:val="0"/>
          <w:sz w:val="24"/>
        </w:rPr>
        <w:t>，但因本基金所持证券的流动性受到限制而不能及时变现的，基金管理人可在该等证券可流通后进行二次或多次清算。本基金的清算期限自动顺延至全部基金财产清算完毕之日</w:t>
      </w:r>
      <w:r w:rsidRPr="00905243">
        <w:rPr>
          <w:rFonts w:ascii="宋体" w:hAnsi="宋体" w:cs="Arial" w:hint="eastAsia"/>
          <w:kern w:val="0"/>
          <w:sz w:val="24"/>
        </w:rPr>
        <w:t>。</w:t>
      </w:r>
    </w:p>
    <w:p w14:paraId="0FB2B786"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6.清算费用</w:t>
      </w:r>
    </w:p>
    <w:p w14:paraId="56375583"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清算费用是指基金财产清算小组在进行基金清算过程中发生的所有合理费用，清算费用由基金财产清算小组优先从基金财产中支付。</w:t>
      </w:r>
    </w:p>
    <w:p w14:paraId="23D8678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7.基金财产清算剩余资产的分配：</w:t>
      </w:r>
    </w:p>
    <w:p w14:paraId="4008267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13B98D10"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8.基金财产清算的公告</w:t>
      </w:r>
    </w:p>
    <w:p w14:paraId="506557C2" w14:textId="5CF65E48"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r w:rsidR="00905243">
        <w:rPr>
          <w:rFonts w:ascii="宋体" w:hAnsi="宋体" w:cs="Arial" w:hint="eastAsia"/>
          <w:kern w:val="0"/>
          <w:sz w:val="24"/>
        </w:rPr>
        <w:t>，</w:t>
      </w:r>
      <w:r w:rsidR="00905243" w:rsidRPr="00905243">
        <w:rPr>
          <w:rFonts w:ascii="宋体" w:hAnsi="宋体" w:cs="Arial" w:hint="eastAsia"/>
          <w:kern w:val="0"/>
          <w:sz w:val="24"/>
        </w:rPr>
        <w:t>基金财产清算小组应当将清算报告登载在规定网站上，并将清算报告提示性公告登载在规定报刊上</w:t>
      </w:r>
      <w:r w:rsidRPr="00905243">
        <w:rPr>
          <w:rFonts w:ascii="宋体" w:hAnsi="宋体" w:cs="Arial" w:hint="eastAsia"/>
          <w:kern w:val="0"/>
          <w:sz w:val="24"/>
        </w:rPr>
        <w:t>。</w:t>
      </w:r>
    </w:p>
    <w:p w14:paraId="5AE4891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9.基金财产清算账册及文件的保存</w:t>
      </w:r>
    </w:p>
    <w:p w14:paraId="0C6CFCFF" w14:textId="5C2DFFE1"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基金财产清算账册及有关文件由基金托管人保存</w:t>
      </w:r>
      <w:r w:rsidR="00AD7243">
        <w:rPr>
          <w:rFonts w:ascii="宋体" w:hAnsi="宋体" w:cs="Arial" w:hint="eastAsia"/>
          <w:kern w:val="0"/>
          <w:sz w:val="24"/>
        </w:rPr>
        <w:t>不低于法律法规规定的最低期限</w:t>
      </w:r>
      <w:r>
        <w:rPr>
          <w:rFonts w:ascii="宋体" w:hAnsi="宋体" w:cs="Arial" w:hint="eastAsia"/>
          <w:kern w:val="0"/>
          <w:sz w:val="24"/>
        </w:rPr>
        <w:t>。</w:t>
      </w:r>
    </w:p>
    <w:p w14:paraId="4C3285D9" w14:textId="77777777" w:rsidR="00553A42" w:rsidRDefault="00553A42">
      <w:pPr>
        <w:adjustRightInd w:val="0"/>
        <w:snapToGrid w:val="0"/>
        <w:rPr>
          <w:rFonts w:ascii="彩虹粗仿宋" w:eastAsia="彩虹粗仿宋" w:hAnsi="宋体" w:cs="Arial"/>
          <w:sz w:val="24"/>
        </w:rPr>
      </w:pPr>
    </w:p>
    <w:p w14:paraId="4945AD0C" w14:textId="77777777" w:rsidR="00553A42" w:rsidRDefault="00553A42">
      <w:pPr>
        <w:adjustRightInd w:val="0"/>
        <w:snapToGrid w:val="0"/>
        <w:rPr>
          <w:rFonts w:ascii="彩虹粗仿宋" w:eastAsia="彩虹粗仿宋" w:hAnsi="宋体" w:cs="Arial"/>
          <w:sz w:val="24"/>
        </w:rPr>
      </w:pPr>
    </w:p>
    <w:p w14:paraId="110C8FB0" w14:textId="77777777" w:rsidR="00553A42" w:rsidRDefault="00553A42">
      <w:pPr>
        <w:adjustRightInd w:val="0"/>
        <w:snapToGrid w:val="0"/>
        <w:rPr>
          <w:rFonts w:ascii="彩虹粗仿宋" w:eastAsia="彩虹粗仿宋" w:hAnsi="宋体" w:cs="Arial"/>
          <w:sz w:val="24"/>
        </w:rPr>
      </w:pPr>
    </w:p>
    <w:p w14:paraId="29F0FCC0" w14:textId="77777777" w:rsidR="00553A42" w:rsidRDefault="00553A42">
      <w:pPr>
        <w:adjustRightInd w:val="0"/>
        <w:snapToGrid w:val="0"/>
        <w:rPr>
          <w:rFonts w:ascii="彩虹粗仿宋" w:eastAsia="彩虹粗仿宋" w:hAnsi="宋体" w:cs="Arial"/>
          <w:sz w:val="24"/>
        </w:rPr>
      </w:pPr>
    </w:p>
    <w:p w14:paraId="1D1D12DD" w14:textId="77777777" w:rsidR="00553A42" w:rsidRDefault="00553A42">
      <w:pPr>
        <w:adjustRightInd w:val="0"/>
        <w:snapToGrid w:val="0"/>
        <w:rPr>
          <w:rFonts w:ascii="彩虹粗仿宋" w:eastAsia="彩虹粗仿宋" w:hAnsi="宋体" w:cs="Arial"/>
          <w:sz w:val="24"/>
        </w:rPr>
      </w:pPr>
    </w:p>
    <w:p w14:paraId="7F697C34" w14:textId="77777777" w:rsidR="00553A42" w:rsidRDefault="00553A42">
      <w:pPr>
        <w:adjustRightInd w:val="0"/>
        <w:snapToGrid w:val="0"/>
        <w:rPr>
          <w:rFonts w:ascii="彩虹粗仿宋" w:eastAsia="彩虹粗仿宋" w:hAnsi="宋体" w:cs="Arial"/>
          <w:sz w:val="24"/>
        </w:rPr>
      </w:pPr>
    </w:p>
    <w:p w14:paraId="0CCEC184" w14:textId="77777777" w:rsidR="00553A42" w:rsidRDefault="00553A42">
      <w:pPr>
        <w:adjustRightInd w:val="0"/>
        <w:snapToGrid w:val="0"/>
        <w:rPr>
          <w:rFonts w:ascii="彩虹粗仿宋" w:eastAsia="彩虹粗仿宋" w:hAnsi="宋体" w:cs="Arial"/>
          <w:sz w:val="24"/>
        </w:rPr>
      </w:pPr>
    </w:p>
    <w:p w14:paraId="72E2AAB5" w14:textId="77777777" w:rsidR="00553A42" w:rsidRDefault="00553A42">
      <w:pPr>
        <w:adjustRightInd w:val="0"/>
        <w:snapToGrid w:val="0"/>
        <w:rPr>
          <w:rFonts w:ascii="彩虹粗仿宋" w:eastAsia="彩虹粗仿宋" w:hAnsi="宋体" w:cs="Arial"/>
          <w:sz w:val="24"/>
        </w:rPr>
      </w:pPr>
    </w:p>
    <w:p w14:paraId="7CBBE613" w14:textId="77777777" w:rsidR="00553A42" w:rsidRDefault="00553A42">
      <w:pPr>
        <w:adjustRightInd w:val="0"/>
        <w:snapToGrid w:val="0"/>
        <w:rPr>
          <w:rFonts w:ascii="彩虹粗仿宋" w:eastAsia="彩虹粗仿宋" w:hAnsi="宋体" w:cs="Arial"/>
          <w:sz w:val="24"/>
        </w:rPr>
      </w:pPr>
    </w:p>
    <w:p w14:paraId="4F765EB6" w14:textId="77777777" w:rsidR="00553A42" w:rsidRDefault="00553A42">
      <w:pPr>
        <w:adjustRightInd w:val="0"/>
        <w:snapToGrid w:val="0"/>
        <w:rPr>
          <w:rFonts w:ascii="彩虹粗仿宋" w:eastAsia="彩虹粗仿宋" w:hAnsi="宋体" w:cs="Arial"/>
          <w:sz w:val="24"/>
        </w:rPr>
      </w:pPr>
    </w:p>
    <w:p w14:paraId="0B1C570B" w14:textId="77777777" w:rsidR="00553A42" w:rsidRDefault="00553A42">
      <w:pPr>
        <w:adjustRightInd w:val="0"/>
        <w:snapToGrid w:val="0"/>
        <w:rPr>
          <w:rFonts w:ascii="彩虹粗仿宋" w:eastAsia="彩虹粗仿宋" w:hAnsi="宋体" w:cs="Arial"/>
          <w:sz w:val="24"/>
        </w:rPr>
      </w:pPr>
    </w:p>
    <w:p w14:paraId="5943FC30" w14:textId="77777777" w:rsidR="00553A42" w:rsidRDefault="00553A42">
      <w:pPr>
        <w:adjustRightInd w:val="0"/>
        <w:snapToGrid w:val="0"/>
        <w:rPr>
          <w:rFonts w:ascii="彩虹粗仿宋" w:eastAsia="彩虹粗仿宋" w:hAnsi="宋体" w:cs="Arial"/>
          <w:sz w:val="24"/>
        </w:rPr>
      </w:pPr>
    </w:p>
    <w:p w14:paraId="5A7F11B2" w14:textId="77777777" w:rsidR="00553A42" w:rsidRPr="00631686" w:rsidRDefault="00827B77" w:rsidP="0079795E">
      <w:pPr>
        <w:pStyle w:val="2"/>
        <w:jc w:val="center"/>
        <w:rPr>
          <w:rFonts w:asciiTheme="minorEastAsia" w:eastAsiaTheme="minorEastAsia" w:hAnsiTheme="minorEastAsia"/>
          <w:sz w:val="30"/>
        </w:rPr>
      </w:pPr>
      <w:bookmarkStart w:id="98" w:name="_Toc62934262"/>
      <w:r w:rsidRPr="00631686">
        <w:rPr>
          <w:rFonts w:asciiTheme="minorEastAsia" w:eastAsiaTheme="minorEastAsia" w:hAnsiTheme="minorEastAsia" w:hint="eastAsia"/>
          <w:sz w:val="30"/>
        </w:rPr>
        <w:lastRenderedPageBreak/>
        <w:t>十七、违约责任</w:t>
      </w:r>
      <w:bookmarkEnd w:id="98"/>
    </w:p>
    <w:p w14:paraId="57D6D0E0"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（一）基金管理人、基金托管人不履行本协议或履行本协议不符合约定的，应当承担违约责任。</w:t>
      </w:r>
    </w:p>
    <w:p w14:paraId="6717FAD6"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1DFEDF4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55C9549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1.不可抗力；</w:t>
      </w:r>
    </w:p>
    <w:p w14:paraId="27BF8AAA"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2.基金管理人、基金托管人按照当时有效的法律法规或中国证监会的规定作为或不作为而造成的损失等；</w:t>
      </w:r>
    </w:p>
    <w:p w14:paraId="7A3752C1"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3.基金管理人由于按照《基金合同》规定的投资原则投资或不投资造成的直接损失或潜在损失等。</w:t>
      </w:r>
    </w:p>
    <w:p w14:paraId="376E9C64"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（四）一方当事人违约，另一方当事人在职责范围内有义务及时采取必要的措施，尽力防止损失的扩大。</w:t>
      </w:r>
    </w:p>
    <w:p w14:paraId="29727FEC"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（五）违约行为虽已发生，但本托管协议能够继续履行的，在最大限度地保护基金份额持有人利益的前提下，基金管理人和基金托管人应当继续履行本协议。</w:t>
      </w:r>
    </w:p>
    <w:p w14:paraId="28A2412D"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73AB16EA" w14:textId="77777777" w:rsidR="00553A42" w:rsidRDefault="00553A42">
      <w:pPr>
        <w:adjustRightInd w:val="0"/>
        <w:snapToGrid w:val="0"/>
        <w:outlineLvl w:val="0"/>
        <w:rPr>
          <w:rFonts w:ascii="彩虹粗仿宋" w:eastAsia="彩虹粗仿宋" w:hAnsi="宋体" w:cs="Arial"/>
          <w:sz w:val="24"/>
        </w:rPr>
      </w:pPr>
    </w:p>
    <w:p w14:paraId="059AF85C" w14:textId="77777777" w:rsidR="00553A42" w:rsidRDefault="00553A42">
      <w:pPr>
        <w:adjustRightInd w:val="0"/>
        <w:snapToGrid w:val="0"/>
        <w:outlineLvl w:val="0"/>
        <w:rPr>
          <w:rFonts w:ascii="彩虹粗仿宋" w:eastAsia="彩虹粗仿宋" w:hAnsi="宋体" w:cs="Arial"/>
          <w:sz w:val="24"/>
        </w:rPr>
      </w:pPr>
    </w:p>
    <w:p w14:paraId="2536A3E3" w14:textId="77777777" w:rsidR="00553A42" w:rsidRDefault="00553A42">
      <w:pPr>
        <w:adjustRightInd w:val="0"/>
        <w:snapToGrid w:val="0"/>
        <w:outlineLvl w:val="0"/>
        <w:rPr>
          <w:rFonts w:ascii="彩虹粗仿宋" w:eastAsia="彩虹粗仿宋" w:hAnsi="宋体" w:cs="Arial"/>
          <w:sz w:val="24"/>
        </w:rPr>
      </w:pPr>
    </w:p>
    <w:p w14:paraId="3C39F35D" w14:textId="77777777" w:rsidR="00553A42" w:rsidRPr="00631686" w:rsidRDefault="00827B77">
      <w:pPr>
        <w:pStyle w:val="2"/>
        <w:jc w:val="center"/>
        <w:rPr>
          <w:rFonts w:asciiTheme="minorEastAsia" w:eastAsiaTheme="minorEastAsia" w:hAnsiTheme="minorEastAsia"/>
          <w:sz w:val="30"/>
        </w:rPr>
      </w:pPr>
      <w:bookmarkStart w:id="99" w:name="_Toc62934263"/>
      <w:r w:rsidRPr="00631686">
        <w:rPr>
          <w:rFonts w:asciiTheme="minorEastAsia" w:eastAsiaTheme="minorEastAsia" w:hAnsiTheme="minorEastAsia" w:hint="eastAsia"/>
          <w:sz w:val="30"/>
        </w:rPr>
        <w:lastRenderedPageBreak/>
        <w:t>十八、争议解决方式</w:t>
      </w:r>
      <w:bookmarkStart w:id="100" w:name="_GoBack"/>
      <w:bookmarkEnd w:id="99"/>
      <w:bookmarkEnd w:id="100"/>
    </w:p>
    <w:p w14:paraId="1639FD98" w14:textId="5A2384E3" w:rsidR="00553A42" w:rsidRPr="00E05D14" w:rsidRDefault="00827B77">
      <w:pPr>
        <w:widowControl/>
        <w:adjustRightInd w:val="0"/>
        <w:snapToGrid w:val="0"/>
        <w:spacing w:line="360" w:lineRule="auto"/>
        <w:ind w:firstLineChars="200" w:firstLine="482"/>
        <w:rPr>
          <w:rFonts w:ascii="宋体" w:hAnsi="宋体" w:cs="Arial"/>
          <w:b/>
          <w:kern w:val="0"/>
          <w:sz w:val="24"/>
        </w:rPr>
      </w:pPr>
      <w:r w:rsidRPr="00E05D14">
        <w:rPr>
          <w:rFonts w:ascii="宋体" w:hAnsi="宋体" w:cs="Arial" w:hint="eastAsia"/>
          <w:b/>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w:t>
      </w:r>
      <w:r w:rsidR="00775B33">
        <w:rPr>
          <w:rFonts w:ascii="宋体" w:hAnsi="宋体" w:cs="Arial" w:hint="eastAsia"/>
          <w:b/>
          <w:kern w:val="0"/>
          <w:sz w:val="24"/>
        </w:rPr>
        <w:t>及律师费</w:t>
      </w:r>
      <w:r w:rsidRPr="00E05D14">
        <w:rPr>
          <w:rFonts w:ascii="宋体" w:hAnsi="宋体" w:cs="Arial" w:hint="eastAsia"/>
          <w:b/>
          <w:kern w:val="0"/>
          <w:sz w:val="24"/>
        </w:rPr>
        <w:t>用由败诉方承担。</w:t>
      </w:r>
    </w:p>
    <w:p w14:paraId="49C27CA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争议处理期间，双方当事人应恪守基金管理人和基金托管人职责，各自继续忠实、勤勉、尽责地履行《基金合同》和本托管协议规定的义务，维护基金份额持有人的合法权益。</w:t>
      </w:r>
    </w:p>
    <w:p w14:paraId="4534AA4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本协议受中国法律管辖。</w:t>
      </w:r>
    </w:p>
    <w:p w14:paraId="1074FB3A" w14:textId="77777777" w:rsidR="00553A42" w:rsidRDefault="00553A42">
      <w:pPr>
        <w:adjustRightInd w:val="0"/>
        <w:snapToGrid w:val="0"/>
        <w:rPr>
          <w:rFonts w:ascii="彩虹粗仿宋" w:eastAsia="彩虹粗仿宋" w:hAnsi="宋体" w:cs="Arial"/>
          <w:sz w:val="24"/>
        </w:rPr>
      </w:pPr>
    </w:p>
    <w:p w14:paraId="72D69198" w14:textId="77777777" w:rsidR="00553A42" w:rsidRDefault="00553A42">
      <w:pPr>
        <w:adjustRightInd w:val="0"/>
        <w:snapToGrid w:val="0"/>
        <w:rPr>
          <w:rFonts w:ascii="彩虹粗仿宋" w:eastAsia="彩虹粗仿宋" w:hAnsi="宋体" w:cs="Arial"/>
          <w:sz w:val="24"/>
        </w:rPr>
      </w:pPr>
    </w:p>
    <w:p w14:paraId="2C9C76E5" w14:textId="77777777" w:rsidR="00553A42" w:rsidRDefault="00553A42">
      <w:pPr>
        <w:adjustRightInd w:val="0"/>
        <w:snapToGrid w:val="0"/>
        <w:rPr>
          <w:rFonts w:ascii="彩虹粗仿宋" w:eastAsia="彩虹粗仿宋" w:hAnsi="宋体" w:cs="Arial"/>
          <w:sz w:val="24"/>
        </w:rPr>
      </w:pPr>
    </w:p>
    <w:p w14:paraId="098A00A4" w14:textId="77777777" w:rsidR="00553A42" w:rsidRDefault="00553A42">
      <w:pPr>
        <w:adjustRightInd w:val="0"/>
        <w:snapToGrid w:val="0"/>
        <w:rPr>
          <w:rFonts w:ascii="彩虹粗仿宋" w:eastAsia="彩虹粗仿宋" w:hAnsi="宋体" w:cs="Arial"/>
          <w:sz w:val="24"/>
        </w:rPr>
      </w:pPr>
    </w:p>
    <w:p w14:paraId="0E475811" w14:textId="77777777" w:rsidR="00553A42" w:rsidRDefault="00553A42">
      <w:pPr>
        <w:adjustRightInd w:val="0"/>
        <w:snapToGrid w:val="0"/>
        <w:rPr>
          <w:rFonts w:ascii="彩虹粗仿宋" w:eastAsia="彩虹粗仿宋" w:hAnsi="宋体" w:cs="Arial"/>
          <w:sz w:val="24"/>
        </w:rPr>
      </w:pPr>
    </w:p>
    <w:p w14:paraId="620A3866" w14:textId="77777777" w:rsidR="00553A42" w:rsidRDefault="00553A42">
      <w:pPr>
        <w:adjustRightInd w:val="0"/>
        <w:snapToGrid w:val="0"/>
        <w:rPr>
          <w:rFonts w:ascii="彩虹粗仿宋" w:eastAsia="彩虹粗仿宋" w:hAnsi="宋体" w:cs="Arial"/>
          <w:sz w:val="24"/>
        </w:rPr>
      </w:pPr>
    </w:p>
    <w:p w14:paraId="3D22920C" w14:textId="77777777" w:rsidR="00553A42" w:rsidRDefault="00553A42">
      <w:pPr>
        <w:adjustRightInd w:val="0"/>
        <w:snapToGrid w:val="0"/>
        <w:rPr>
          <w:rFonts w:ascii="彩虹粗仿宋" w:eastAsia="彩虹粗仿宋" w:hAnsi="宋体" w:cs="Arial"/>
          <w:sz w:val="24"/>
        </w:rPr>
      </w:pPr>
    </w:p>
    <w:p w14:paraId="7249ACE6" w14:textId="77777777" w:rsidR="00553A42" w:rsidRDefault="00553A42">
      <w:pPr>
        <w:adjustRightInd w:val="0"/>
        <w:snapToGrid w:val="0"/>
        <w:rPr>
          <w:rFonts w:ascii="彩虹粗仿宋" w:eastAsia="彩虹粗仿宋" w:hAnsi="宋体" w:cs="Arial"/>
          <w:sz w:val="24"/>
        </w:rPr>
      </w:pPr>
    </w:p>
    <w:p w14:paraId="0F7AEBE5" w14:textId="77777777" w:rsidR="00553A42" w:rsidRDefault="00553A42">
      <w:pPr>
        <w:adjustRightInd w:val="0"/>
        <w:snapToGrid w:val="0"/>
        <w:rPr>
          <w:rFonts w:ascii="彩虹粗仿宋" w:eastAsia="彩虹粗仿宋" w:hAnsi="宋体" w:cs="Arial"/>
          <w:sz w:val="24"/>
        </w:rPr>
      </w:pPr>
    </w:p>
    <w:p w14:paraId="79B858E0" w14:textId="77777777" w:rsidR="00553A42" w:rsidRDefault="00553A42">
      <w:pPr>
        <w:adjustRightInd w:val="0"/>
        <w:snapToGrid w:val="0"/>
        <w:rPr>
          <w:rFonts w:ascii="彩虹粗仿宋" w:eastAsia="彩虹粗仿宋" w:hAnsi="宋体" w:cs="Arial"/>
          <w:sz w:val="24"/>
        </w:rPr>
      </w:pPr>
    </w:p>
    <w:p w14:paraId="30367B6B" w14:textId="77777777" w:rsidR="00553A42" w:rsidRDefault="00553A42">
      <w:pPr>
        <w:adjustRightInd w:val="0"/>
        <w:snapToGrid w:val="0"/>
        <w:rPr>
          <w:rFonts w:ascii="彩虹粗仿宋" w:eastAsia="彩虹粗仿宋" w:hAnsi="宋体" w:cs="Arial"/>
          <w:sz w:val="24"/>
        </w:rPr>
      </w:pPr>
    </w:p>
    <w:p w14:paraId="35297D08" w14:textId="77777777" w:rsidR="00553A42" w:rsidRDefault="00553A42">
      <w:pPr>
        <w:adjustRightInd w:val="0"/>
        <w:snapToGrid w:val="0"/>
        <w:rPr>
          <w:rFonts w:ascii="彩虹粗仿宋" w:eastAsia="彩虹粗仿宋" w:hAnsi="宋体" w:cs="Arial"/>
          <w:sz w:val="24"/>
        </w:rPr>
      </w:pPr>
    </w:p>
    <w:p w14:paraId="13AE687C" w14:textId="77777777" w:rsidR="00553A42" w:rsidRDefault="00553A42">
      <w:pPr>
        <w:adjustRightInd w:val="0"/>
        <w:snapToGrid w:val="0"/>
        <w:rPr>
          <w:rFonts w:ascii="彩虹粗仿宋" w:eastAsia="彩虹粗仿宋" w:hAnsi="宋体" w:cs="Arial"/>
          <w:sz w:val="24"/>
        </w:rPr>
      </w:pPr>
    </w:p>
    <w:p w14:paraId="24EB28F4" w14:textId="77777777" w:rsidR="00553A42" w:rsidRDefault="00553A42">
      <w:pPr>
        <w:adjustRightInd w:val="0"/>
        <w:snapToGrid w:val="0"/>
        <w:rPr>
          <w:rFonts w:ascii="彩虹粗仿宋" w:eastAsia="彩虹粗仿宋" w:hAnsi="宋体" w:cs="Arial"/>
          <w:sz w:val="24"/>
        </w:rPr>
      </w:pPr>
    </w:p>
    <w:p w14:paraId="6C8ECC30" w14:textId="77777777" w:rsidR="00553A42" w:rsidRDefault="00553A42">
      <w:pPr>
        <w:adjustRightInd w:val="0"/>
        <w:snapToGrid w:val="0"/>
        <w:rPr>
          <w:rFonts w:ascii="彩虹粗仿宋" w:eastAsia="彩虹粗仿宋" w:hAnsi="宋体" w:cs="Arial"/>
          <w:sz w:val="24"/>
        </w:rPr>
      </w:pPr>
    </w:p>
    <w:p w14:paraId="3D3C4C71" w14:textId="77777777" w:rsidR="00553A42" w:rsidRDefault="00553A42">
      <w:pPr>
        <w:adjustRightInd w:val="0"/>
        <w:snapToGrid w:val="0"/>
        <w:rPr>
          <w:rFonts w:ascii="彩虹粗仿宋" w:eastAsia="彩虹粗仿宋" w:hAnsi="宋体" w:cs="Arial"/>
          <w:sz w:val="24"/>
        </w:rPr>
      </w:pPr>
    </w:p>
    <w:p w14:paraId="4D4D6065" w14:textId="77777777" w:rsidR="00553A42" w:rsidRDefault="00553A42">
      <w:pPr>
        <w:adjustRightInd w:val="0"/>
        <w:snapToGrid w:val="0"/>
        <w:rPr>
          <w:rFonts w:ascii="彩虹粗仿宋" w:eastAsia="彩虹粗仿宋" w:hAnsi="宋体" w:cs="Arial"/>
          <w:sz w:val="24"/>
        </w:rPr>
      </w:pPr>
    </w:p>
    <w:p w14:paraId="2C77D843" w14:textId="77777777" w:rsidR="00553A42" w:rsidRDefault="00553A42">
      <w:pPr>
        <w:adjustRightInd w:val="0"/>
        <w:snapToGrid w:val="0"/>
        <w:rPr>
          <w:rFonts w:ascii="彩虹粗仿宋" w:eastAsia="彩虹粗仿宋" w:hAnsi="宋体" w:cs="Arial"/>
          <w:sz w:val="24"/>
        </w:rPr>
      </w:pPr>
    </w:p>
    <w:p w14:paraId="0CB04674" w14:textId="77777777" w:rsidR="00553A42" w:rsidRDefault="00553A42">
      <w:pPr>
        <w:adjustRightInd w:val="0"/>
        <w:snapToGrid w:val="0"/>
        <w:rPr>
          <w:rFonts w:ascii="彩虹粗仿宋" w:eastAsia="彩虹粗仿宋" w:hAnsi="宋体" w:cs="Arial"/>
          <w:sz w:val="24"/>
        </w:rPr>
      </w:pPr>
    </w:p>
    <w:p w14:paraId="618B87E3" w14:textId="77777777" w:rsidR="00553A42" w:rsidRDefault="00553A42">
      <w:pPr>
        <w:pStyle w:val="2"/>
        <w:jc w:val="center"/>
        <w:rPr>
          <w:rFonts w:ascii="彩虹粗仿宋" w:eastAsia="彩虹粗仿宋"/>
          <w:sz w:val="30"/>
        </w:rPr>
        <w:sectPr w:rsidR="00553A42">
          <w:pgSz w:w="11906" w:h="16838"/>
          <w:pgMar w:top="1418" w:right="1701" w:bottom="1418" w:left="1701" w:header="851" w:footer="992" w:gutter="0"/>
          <w:cols w:space="425"/>
          <w:docGrid w:type="lines" w:linePitch="312"/>
        </w:sectPr>
      </w:pPr>
    </w:p>
    <w:p w14:paraId="40E8EEB3" w14:textId="77777777" w:rsidR="00553A42" w:rsidRPr="00631686" w:rsidRDefault="00827B77">
      <w:pPr>
        <w:pStyle w:val="2"/>
        <w:jc w:val="center"/>
        <w:rPr>
          <w:rFonts w:asciiTheme="minorEastAsia" w:eastAsiaTheme="minorEastAsia" w:hAnsiTheme="minorEastAsia"/>
          <w:sz w:val="30"/>
        </w:rPr>
      </w:pPr>
      <w:bookmarkStart w:id="101" w:name="_Toc62934264"/>
      <w:r w:rsidRPr="00631686">
        <w:rPr>
          <w:rFonts w:asciiTheme="minorEastAsia" w:eastAsiaTheme="minorEastAsia" w:hAnsiTheme="minorEastAsia" w:hint="eastAsia"/>
          <w:sz w:val="30"/>
        </w:rPr>
        <w:lastRenderedPageBreak/>
        <w:t>十九、托管协议的效力</w:t>
      </w:r>
      <w:bookmarkEnd w:id="101"/>
    </w:p>
    <w:p w14:paraId="431A1DB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双方对托管协议的效力约定如下：</w:t>
      </w:r>
    </w:p>
    <w:p w14:paraId="5BF2193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71BF48B8"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（二）托管协议自《基金合同》成立之日起成立，自《基金合同》生效之日起生效。托管协议的有效期自其生效之日起至基金财产清算结果报中国证监会备案并公告之日止。</w:t>
      </w:r>
    </w:p>
    <w:p w14:paraId="5255BBF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（三）托管协议自生效之日起对托管协议当事人具有同等的法律约束力。</w:t>
      </w:r>
    </w:p>
    <w:p w14:paraId="3E180B8E"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（四）本协议一式六份，协议双方各持二份，上报监管机构二份，每份具有同等的法律效力。</w:t>
      </w:r>
    </w:p>
    <w:p w14:paraId="3B801BDB" w14:textId="77777777" w:rsidR="00553A42" w:rsidRDefault="00553A42">
      <w:pPr>
        <w:adjustRightInd w:val="0"/>
        <w:snapToGrid w:val="0"/>
        <w:rPr>
          <w:rFonts w:ascii="彩虹粗仿宋" w:eastAsia="彩虹粗仿宋" w:hAnsi="宋体" w:cs="Arial"/>
          <w:sz w:val="24"/>
        </w:rPr>
      </w:pPr>
    </w:p>
    <w:p w14:paraId="3CB96F29" w14:textId="77777777" w:rsidR="00553A42" w:rsidRDefault="00553A42">
      <w:pPr>
        <w:adjustRightInd w:val="0"/>
        <w:snapToGrid w:val="0"/>
        <w:rPr>
          <w:rFonts w:ascii="彩虹粗仿宋" w:eastAsia="彩虹粗仿宋" w:hAnsi="宋体" w:cs="Arial"/>
          <w:sz w:val="24"/>
        </w:rPr>
      </w:pPr>
    </w:p>
    <w:p w14:paraId="30EA4020" w14:textId="77777777" w:rsidR="00553A42" w:rsidRDefault="00553A42">
      <w:pPr>
        <w:adjustRightInd w:val="0"/>
        <w:snapToGrid w:val="0"/>
        <w:rPr>
          <w:rFonts w:ascii="彩虹粗仿宋" w:eastAsia="彩虹粗仿宋" w:hAnsi="宋体" w:cs="Arial"/>
          <w:sz w:val="24"/>
        </w:rPr>
      </w:pPr>
    </w:p>
    <w:p w14:paraId="25AAE95D" w14:textId="77777777" w:rsidR="00553A42" w:rsidRDefault="00553A42">
      <w:pPr>
        <w:adjustRightInd w:val="0"/>
        <w:snapToGrid w:val="0"/>
        <w:rPr>
          <w:rFonts w:ascii="彩虹粗仿宋" w:eastAsia="彩虹粗仿宋" w:hAnsi="宋体" w:cs="Arial"/>
          <w:sz w:val="24"/>
        </w:rPr>
      </w:pPr>
    </w:p>
    <w:p w14:paraId="28C7512E" w14:textId="77777777" w:rsidR="00553A42" w:rsidRDefault="00553A42">
      <w:pPr>
        <w:adjustRightInd w:val="0"/>
        <w:snapToGrid w:val="0"/>
        <w:rPr>
          <w:rFonts w:ascii="彩虹粗仿宋" w:eastAsia="彩虹粗仿宋" w:hAnsi="宋体" w:cs="Arial"/>
          <w:sz w:val="24"/>
        </w:rPr>
      </w:pPr>
    </w:p>
    <w:p w14:paraId="018214A0" w14:textId="77777777" w:rsidR="00553A42" w:rsidRDefault="00553A42">
      <w:pPr>
        <w:adjustRightInd w:val="0"/>
        <w:snapToGrid w:val="0"/>
        <w:rPr>
          <w:rFonts w:ascii="彩虹粗仿宋" w:eastAsia="彩虹粗仿宋" w:hAnsi="宋体" w:cs="Arial"/>
          <w:sz w:val="24"/>
        </w:rPr>
      </w:pPr>
    </w:p>
    <w:p w14:paraId="765DF977" w14:textId="77777777" w:rsidR="00553A42" w:rsidRDefault="00553A42">
      <w:pPr>
        <w:adjustRightInd w:val="0"/>
        <w:snapToGrid w:val="0"/>
        <w:rPr>
          <w:rFonts w:ascii="彩虹粗仿宋" w:eastAsia="彩虹粗仿宋" w:hAnsi="宋体" w:cs="Arial"/>
          <w:sz w:val="24"/>
        </w:rPr>
      </w:pPr>
    </w:p>
    <w:p w14:paraId="0E38450B" w14:textId="77777777" w:rsidR="00553A42" w:rsidRDefault="00553A42">
      <w:pPr>
        <w:adjustRightInd w:val="0"/>
        <w:snapToGrid w:val="0"/>
        <w:rPr>
          <w:rFonts w:ascii="彩虹粗仿宋" w:eastAsia="彩虹粗仿宋" w:hAnsi="宋体" w:cs="Arial"/>
          <w:sz w:val="24"/>
        </w:rPr>
      </w:pPr>
    </w:p>
    <w:p w14:paraId="1FBD6AEC" w14:textId="77777777" w:rsidR="00553A42" w:rsidRDefault="00553A42">
      <w:pPr>
        <w:adjustRightInd w:val="0"/>
        <w:snapToGrid w:val="0"/>
        <w:rPr>
          <w:rFonts w:ascii="彩虹粗仿宋" w:eastAsia="彩虹粗仿宋" w:hAnsi="宋体" w:cs="Arial"/>
          <w:sz w:val="24"/>
        </w:rPr>
      </w:pPr>
    </w:p>
    <w:p w14:paraId="40BBB4DA" w14:textId="77777777" w:rsidR="00553A42" w:rsidRDefault="00553A42">
      <w:pPr>
        <w:adjustRightInd w:val="0"/>
        <w:snapToGrid w:val="0"/>
        <w:rPr>
          <w:rFonts w:ascii="彩虹粗仿宋" w:eastAsia="彩虹粗仿宋" w:hAnsi="宋体" w:cs="Arial"/>
          <w:sz w:val="24"/>
        </w:rPr>
      </w:pPr>
    </w:p>
    <w:p w14:paraId="7C15F638" w14:textId="77777777" w:rsidR="00553A42" w:rsidRDefault="00553A42">
      <w:pPr>
        <w:adjustRightInd w:val="0"/>
        <w:snapToGrid w:val="0"/>
        <w:rPr>
          <w:rFonts w:ascii="彩虹粗仿宋" w:eastAsia="彩虹粗仿宋" w:hAnsi="宋体" w:cs="Arial"/>
          <w:sz w:val="24"/>
        </w:rPr>
      </w:pPr>
    </w:p>
    <w:p w14:paraId="7193B92D" w14:textId="77777777" w:rsidR="00553A42" w:rsidRDefault="00553A42">
      <w:pPr>
        <w:adjustRightInd w:val="0"/>
        <w:snapToGrid w:val="0"/>
        <w:rPr>
          <w:rFonts w:ascii="彩虹粗仿宋" w:eastAsia="彩虹粗仿宋" w:hAnsi="宋体" w:cs="Arial"/>
          <w:sz w:val="24"/>
        </w:rPr>
      </w:pPr>
    </w:p>
    <w:p w14:paraId="4B33F6D9" w14:textId="77777777" w:rsidR="00553A42" w:rsidRDefault="00553A42">
      <w:pPr>
        <w:adjustRightInd w:val="0"/>
        <w:snapToGrid w:val="0"/>
        <w:rPr>
          <w:rFonts w:ascii="彩虹粗仿宋" w:eastAsia="彩虹粗仿宋" w:hAnsi="宋体" w:cs="Arial"/>
          <w:sz w:val="24"/>
        </w:rPr>
      </w:pPr>
    </w:p>
    <w:p w14:paraId="2391B448" w14:textId="77777777" w:rsidR="00553A42" w:rsidRDefault="00553A42">
      <w:pPr>
        <w:adjustRightInd w:val="0"/>
        <w:snapToGrid w:val="0"/>
        <w:rPr>
          <w:rFonts w:ascii="彩虹粗仿宋" w:eastAsia="彩虹粗仿宋" w:hAnsi="宋体" w:cs="Arial"/>
          <w:sz w:val="24"/>
        </w:rPr>
      </w:pPr>
    </w:p>
    <w:p w14:paraId="27BDF2A4" w14:textId="77777777" w:rsidR="00553A42" w:rsidRDefault="00553A42">
      <w:pPr>
        <w:adjustRightInd w:val="0"/>
        <w:snapToGrid w:val="0"/>
        <w:rPr>
          <w:rFonts w:ascii="彩虹粗仿宋" w:eastAsia="彩虹粗仿宋" w:hAnsi="宋体" w:cs="Arial"/>
          <w:sz w:val="24"/>
        </w:rPr>
      </w:pPr>
    </w:p>
    <w:p w14:paraId="3D12582B" w14:textId="77777777" w:rsidR="00553A42" w:rsidRDefault="00553A42">
      <w:pPr>
        <w:adjustRightInd w:val="0"/>
        <w:snapToGrid w:val="0"/>
        <w:rPr>
          <w:rFonts w:ascii="彩虹粗仿宋" w:eastAsia="彩虹粗仿宋" w:hAnsi="宋体" w:cs="Arial"/>
          <w:sz w:val="24"/>
        </w:rPr>
      </w:pPr>
    </w:p>
    <w:p w14:paraId="03CD3441" w14:textId="77777777" w:rsidR="00553A42" w:rsidRDefault="00553A42">
      <w:pPr>
        <w:adjustRightInd w:val="0"/>
        <w:snapToGrid w:val="0"/>
        <w:rPr>
          <w:rFonts w:ascii="彩虹粗仿宋" w:eastAsia="彩虹粗仿宋" w:hAnsi="宋体" w:cs="Arial"/>
          <w:sz w:val="24"/>
        </w:rPr>
      </w:pPr>
    </w:p>
    <w:p w14:paraId="725A51CA" w14:textId="77777777" w:rsidR="00553A42" w:rsidRDefault="00553A42">
      <w:pPr>
        <w:adjustRightInd w:val="0"/>
        <w:snapToGrid w:val="0"/>
        <w:rPr>
          <w:rFonts w:ascii="彩虹粗仿宋" w:eastAsia="彩虹粗仿宋" w:hAnsi="宋体" w:cs="Arial"/>
          <w:sz w:val="24"/>
        </w:rPr>
      </w:pPr>
    </w:p>
    <w:p w14:paraId="0E00AAB9" w14:textId="77777777" w:rsidR="00553A42" w:rsidRDefault="00553A42">
      <w:pPr>
        <w:adjustRightInd w:val="0"/>
        <w:snapToGrid w:val="0"/>
        <w:rPr>
          <w:rFonts w:ascii="彩虹粗仿宋" w:eastAsia="彩虹粗仿宋" w:hAnsi="宋体" w:cs="Arial"/>
          <w:sz w:val="24"/>
        </w:rPr>
      </w:pPr>
    </w:p>
    <w:p w14:paraId="4947D3DE" w14:textId="77777777" w:rsidR="00553A42" w:rsidRPr="00631686" w:rsidRDefault="00827B77">
      <w:pPr>
        <w:pStyle w:val="2"/>
        <w:jc w:val="center"/>
        <w:rPr>
          <w:rFonts w:asciiTheme="majorEastAsia" w:eastAsiaTheme="majorEastAsia" w:hAnsiTheme="majorEastAsia"/>
          <w:sz w:val="30"/>
        </w:rPr>
      </w:pPr>
      <w:bookmarkStart w:id="102" w:name="_Toc62934265"/>
      <w:r w:rsidRPr="00631686">
        <w:rPr>
          <w:rFonts w:asciiTheme="majorEastAsia" w:eastAsiaTheme="majorEastAsia" w:hAnsiTheme="majorEastAsia" w:hint="eastAsia"/>
          <w:sz w:val="30"/>
        </w:rPr>
        <w:lastRenderedPageBreak/>
        <w:t>二十、其他事项</w:t>
      </w:r>
      <w:bookmarkEnd w:id="102"/>
    </w:p>
    <w:p w14:paraId="6397D705"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如发生有权司法机关依法冻结基金份额持有人的基金份额时，基金管理人应予以配合，承担司法协助义务。</w:t>
      </w:r>
    </w:p>
    <w:p w14:paraId="5320BFD2" w14:textId="77777777" w:rsidR="00553A42" w:rsidRDefault="00827B77">
      <w:pPr>
        <w:widowControl/>
        <w:adjustRightInd w:val="0"/>
        <w:snapToGrid w:val="0"/>
        <w:spacing w:line="360" w:lineRule="auto"/>
        <w:ind w:firstLineChars="200" w:firstLine="480"/>
        <w:rPr>
          <w:rFonts w:ascii="宋体" w:hAnsi="宋体" w:cs="Arial"/>
          <w:kern w:val="0"/>
          <w:sz w:val="24"/>
        </w:rPr>
      </w:pPr>
      <w:r>
        <w:rPr>
          <w:rFonts w:ascii="宋体" w:hAnsi="宋体" w:cs="Arial" w:hint="eastAsia"/>
          <w:kern w:val="0"/>
          <w:sz w:val="24"/>
        </w:rPr>
        <w:t>除本协议有明确定义外，本协议的用语定义适用《基金合同》的约定。本协议未尽事宜，当事人依据《基金合同》、有关法律法规等规定协商办理。</w:t>
      </w:r>
    </w:p>
    <w:p w14:paraId="2A6BAF6F" w14:textId="77777777" w:rsidR="00553A42" w:rsidRDefault="00553A42">
      <w:pPr>
        <w:widowControl/>
        <w:adjustRightInd w:val="0"/>
        <w:snapToGrid w:val="0"/>
        <w:spacing w:line="360" w:lineRule="auto"/>
        <w:ind w:firstLineChars="200" w:firstLine="480"/>
        <w:rPr>
          <w:rFonts w:ascii="宋体" w:hAnsi="宋体" w:cs="Arial"/>
          <w:kern w:val="0"/>
          <w:sz w:val="24"/>
        </w:rPr>
      </w:pPr>
    </w:p>
    <w:p w14:paraId="00360E7E"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34D6B118"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2B54BDD6"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6D0393FB"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3D50EAD6"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644DE7E3"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1BC5C8A2"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0DAEA82D"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0076781B"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5BEA484C"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45E4770F"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68B84B85"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01361BB1"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13D0F7C5"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52BE0952"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5F788270"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2D30FD92"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4B7C9FAF" w14:textId="77777777" w:rsidR="00553A42" w:rsidRDefault="00553A42">
      <w:pPr>
        <w:widowControl/>
        <w:adjustRightInd w:val="0"/>
        <w:snapToGrid w:val="0"/>
        <w:spacing w:line="360" w:lineRule="auto"/>
        <w:ind w:firstLineChars="200" w:firstLine="560"/>
        <w:rPr>
          <w:rFonts w:ascii="宋体" w:hAnsi="宋体" w:cs="Arial"/>
          <w:kern w:val="0"/>
          <w:sz w:val="28"/>
          <w:szCs w:val="28"/>
        </w:rPr>
      </w:pPr>
    </w:p>
    <w:p w14:paraId="0706C7A8" w14:textId="77777777" w:rsidR="00553A42" w:rsidRPr="00631686" w:rsidRDefault="00827B77">
      <w:pPr>
        <w:pStyle w:val="2"/>
        <w:jc w:val="center"/>
        <w:rPr>
          <w:rFonts w:asciiTheme="minorEastAsia" w:eastAsiaTheme="minorEastAsia" w:hAnsiTheme="minorEastAsia"/>
          <w:sz w:val="30"/>
        </w:rPr>
      </w:pPr>
      <w:bookmarkStart w:id="103" w:name="_Toc62934266"/>
      <w:r w:rsidRPr="00631686">
        <w:rPr>
          <w:rFonts w:asciiTheme="minorEastAsia" w:eastAsiaTheme="minorEastAsia" w:hAnsiTheme="minorEastAsia" w:hint="eastAsia"/>
          <w:sz w:val="30"/>
        </w:rPr>
        <w:lastRenderedPageBreak/>
        <w:t>二十一、托管协议的签订</w:t>
      </w:r>
      <w:bookmarkEnd w:id="103"/>
    </w:p>
    <w:p w14:paraId="153C5A47" w14:textId="0A7F68A5" w:rsidR="00553A42" w:rsidRDefault="00827B77" w:rsidP="00DE2CF6">
      <w:pPr>
        <w:widowControl/>
        <w:adjustRightInd w:val="0"/>
        <w:snapToGrid w:val="0"/>
        <w:spacing w:line="360" w:lineRule="auto"/>
        <w:ind w:firstLineChars="200" w:firstLine="480"/>
        <w:rPr>
          <w:rFonts w:ascii="彩虹粗仿宋" w:eastAsia="彩虹粗仿宋" w:hAnsi="宋体" w:cs="Arial"/>
          <w:sz w:val="24"/>
        </w:rPr>
      </w:pPr>
      <w:r>
        <w:rPr>
          <w:rFonts w:ascii="宋体" w:hAnsi="宋体" w:cs="Arial" w:hint="eastAsia"/>
          <w:kern w:val="0"/>
          <w:sz w:val="24"/>
        </w:rPr>
        <w:t>本协议双方法定代表人或授权代表签章、签订地、签订日</w:t>
      </w:r>
    </w:p>
    <w:sectPr w:rsidR="00553A42">
      <w:headerReference w:type="default" r:id="rId12"/>
      <w:footerReference w:type="default" r:id="rId13"/>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9A0FC" w14:textId="77777777" w:rsidR="006B7D48" w:rsidRDefault="006B7D48">
      <w:r>
        <w:separator/>
      </w:r>
    </w:p>
  </w:endnote>
  <w:endnote w:type="continuationSeparator" w:id="0">
    <w:p w14:paraId="78C0B51A" w14:textId="77777777" w:rsidR="006B7D48" w:rsidRDefault="006B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00"/>
    <w:family w:val="swiss"/>
    <w:pitch w:val="variable"/>
    <w:sig w:usb0="F7FFAFFF" w:usb1="E9DFFFFF" w:usb2="0000003F" w:usb3="00000000" w:csb0="003F01FF" w:csb1="00000000"/>
  </w:font>
  <w:font w:name="楷体_GB2312">
    <w:altName w:val="楷体"/>
    <w:charset w:val="86"/>
    <w:family w:val="modern"/>
    <w:pitch w:val="fixed"/>
    <w:sig w:usb0="800002BF" w:usb1="38CF7CFA" w:usb2="00000016" w:usb3="00000000" w:csb0="00040001" w:csb1="00000000"/>
  </w:font>
  <w:font w:name="彩虹粗仿宋">
    <w:altName w:val="Malgun Gothic Semilight"/>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9632" w14:textId="77777777" w:rsidR="00C26164" w:rsidRDefault="00C26164">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0400E00C" w14:textId="77777777" w:rsidR="00C26164" w:rsidRDefault="00C26164">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5BE03" w14:textId="2284093D" w:rsidR="00C26164" w:rsidRDefault="00C26164">
    <w:pPr>
      <w:pStyle w:val="ad"/>
      <w:framePr w:w="500" w:h="301" w:hRule="exact" w:wrap="around" w:vAnchor="text" w:hAnchor="margin" w:xAlign="center" w:y="2"/>
      <w:rPr>
        <w:rStyle w:val="af2"/>
        <w:rFonts w:ascii="宋体" w:hAnsi="宋体"/>
        <w:sz w:val="21"/>
        <w:szCs w:val="21"/>
      </w:rPr>
    </w:pPr>
    <w:r>
      <w:rPr>
        <w:rStyle w:val="af2"/>
        <w:rFonts w:ascii="宋体" w:hAnsi="宋体"/>
        <w:sz w:val="21"/>
        <w:szCs w:val="21"/>
      </w:rPr>
      <w:fldChar w:fldCharType="begin"/>
    </w:r>
    <w:r>
      <w:rPr>
        <w:rStyle w:val="af2"/>
        <w:rFonts w:ascii="宋体" w:hAnsi="宋体"/>
        <w:sz w:val="21"/>
        <w:szCs w:val="21"/>
      </w:rPr>
      <w:instrText xml:space="preserve">PAGE  </w:instrText>
    </w:r>
    <w:r>
      <w:rPr>
        <w:rStyle w:val="af2"/>
        <w:rFonts w:ascii="宋体" w:hAnsi="宋体"/>
        <w:sz w:val="21"/>
        <w:szCs w:val="21"/>
      </w:rPr>
      <w:fldChar w:fldCharType="separate"/>
    </w:r>
    <w:r w:rsidR="009F4E7B">
      <w:rPr>
        <w:rStyle w:val="af2"/>
        <w:rFonts w:ascii="宋体" w:hAnsi="宋体"/>
        <w:noProof/>
        <w:sz w:val="21"/>
        <w:szCs w:val="21"/>
      </w:rPr>
      <w:t>45</w:t>
    </w:r>
    <w:r>
      <w:rPr>
        <w:rStyle w:val="af2"/>
        <w:rFonts w:ascii="宋体" w:hAnsi="宋体"/>
        <w:sz w:val="21"/>
        <w:szCs w:val="21"/>
      </w:rPr>
      <w:fldChar w:fldCharType="end"/>
    </w:r>
  </w:p>
  <w:p w14:paraId="3A272CCB" w14:textId="77777777" w:rsidR="00C26164" w:rsidRDefault="00C26164">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02A53" w14:textId="77777777" w:rsidR="00C26164" w:rsidRDefault="00C2616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7B818" w14:textId="77777777" w:rsidR="006B7D48" w:rsidRDefault="006B7D48">
      <w:r>
        <w:separator/>
      </w:r>
    </w:p>
  </w:footnote>
  <w:footnote w:type="continuationSeparator" w:id="0">
    <w:p w14:paraId="45852394" w14:textId="77777777" w:rsidR="006B7D48" w:rsidRDefault="006B7D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FE0DB" w14:textId="77777777" w:rsidR="00C26164" w:rsidRDefault="00C26164">
    <w:pPr>
      <w:pStyle w:val="ae"/>
      <w:wordWrap w:val="0"/>
      <w:ind w:right="630"/>
      <w:jc w:val="both"/>
    </w:pPr>
    <w:r>
      <w:rPr>
        <w:rFonts w:hint="eastAsia"/>
        <w:color w:val="000000"/>
      </w:rPr>
      <w:t>民生加银鑫福灵活配置混合型证券投资基金</w:t>
    </w:r>
    <w:r>
      <w:rPr>
        <w:rFonts w:hint="eastAsia"/>
        <w:color w:val="000000"/>
      </w:rPr>
      <w:t xml:space="preserve">                                       </w:t>
    </w:r>
    <w:r>
      <w:rPr>
        <w:rFonts w:hint="eastAsia"/>
        <w:color w:val="000000"/>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5D774" w14:textId="10A05AE8" w:rsidR="00C26164" w:rsidRPr="009F4E7B" w:rsidRDefault="009F4E7B" w:rsidP="009F4E7B">
    <w:pPr>
      <w:pStyle w:val="ae"/>
      <w:wordWrap w:val="0"/>
      <w:ind w:right="630"/>
      <w:jc w:val="both"/>
    </w:pPr>
    <w:r>
      <w:rPr>
        <w:rFonts w:hint="eastAsia"/>
        <w:color w:val="000000"/>
      </w:rPr>
      <w:t>民生加银</w:t>
    </w:r>
    <w:proofErr w:type="gramStart"/>
    <w:r>
      <w:rPr>
        <w:rFonts w:hint="eastAsia"/>
        <w:color w:val="000000"/>
      </w:rPr>
      <w:t>鑫</w:t>
    </w:r>
    <w:proofErr w:type="gramEnd"/>
    <w:r>
      <w:rPr>
        <w:rFonts w:hint="eastAsia"/>
        <w:color w:val="000000"/>
      </w:rPr>
      <w:t>福灵活配置混合型证券投资基金</w:t>
    </w:r>
    <w:r>
      <w:rPr>
        <w:rFonts w:hint="eastAsia"/>
        <w:color w:val="000000"/>
      </w:rPr>
      <w:t xml:space="preserve">                                       </w:t>
    </w:r>
    <w:r>
      <w:rPr>
        <w:rFonts w:hint="eastAsia"/>
        <w:color w:val="000000"/>
      </w:rPr>
      <w:t>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D4E91C"/>
    <w:multiLevelType w:val="singleLevel"/>
    <w:tmpl w:val="5DD4E91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942"/>
    <w:rsid w:val="00001A8C"/>
    <w:rsid w:val="00001AB6"/>
    <w:rsid w:val="00010FA9"/>
    <w:rsid w:val="000135A6"/>
    <w:rsid w:val="00017726"/>
    <w:rsid w:val="00022271"/>
    <w:rsid w:val="00027BC2"/>
    <w:rsid w:val="000319D8"/>
    <w:rsid w:val="00031C1A"/>
    <w:rsid w:val="00035C77"/>
    <w:rsid w:val="0003681A"/>
    <w:rsid w:val="000376B5"/>
    <w:rsid w:val="000403DC"/>
    <w:rsid w:val="00041992"/>
    <w:rsid w:val="00043FE5"/>
    <w:rsid w:val="0004706E"/>
    <w:rsid w:val="00047FC0"/>
    <w:rsid w:val="0006118E"/>
    <w:rsid w:val="00070D28"/>
    <w:rsid w:val="000802A2"/>
    <w:rsid w:val="00085BF2"/>
    <w:rsid w:val="00085E51"/>
    <w:rsid w:val="00091F10"/>
    <w:rsid w:val="00094CFE"/>
    <w:rsid w:val="000A0416"/>
    <w:rsid w:val="000A0F7C"/>
    <w:rsid w:val="000A1E60"/>
    <w:rsid w:val="000A2931"/>
    <w:rsid w:val="000A5469"/>
    <w:rsid w:val="000A6BD6"/>
    <w:rsid w:val="000B073D"/>
    <w:rsid w:val="000B507D"/>
    <w:rsid w:val="000C100E"/>
    <w:rsid w:val="000C1760"/>
    <w:rsid w:val="000C4042"/>
    <w:rsid w:val="000C4736"/>
    <w:rsid w:val="000C4D78"/>
    <w:rsid w:val="000C62B8"/>
    <w:rsid w:val="000C66D3"/>
    <w:rsid w:val="000D0580"/>
    <w:rsid w:val="000D19BA"/>
    <w:rsid w:val="000D4C04"/>
    <w:rsid w:val="000E4092"/>
    <w:rsid w:val="000F08AF"/>
    <w:rsid w:val="000F12EA"/>
    <w:rsid w:val="000F3A96"/>
    <w:rsid w:val="000F3DC9"/>
    <w:rsid w:val="000F7679"/>
    <w:rsid w:val="000F769D"/>
    <w:rsid w:val="000F79E9"/>
    <w:rsid w:val="00101BCD"/>
    <w:rsid w:val="001074B4"/>
    <w:rsid w:val="001100C2"/>
    <w:rsid w:val="00111A03"/>
    <w:rsid w:val="00111E42"/>
    <w:rsid w:val="00114A17"/>
    <w:rsid w:val="0011583A"/>
    <w:rsid w:val="00116252"/>
    <w:rsid w:val="001305B0"/>
    <w:rsid w:val="00130A39"/>
    <w:rsid w:val="0013302F"/>
    <w:rsid w:val="0013367F"/>
    <w:rsid w:val="00134068"/>
    <w:rsid w:val="00134142"/>
    <w:rsid w:val="0013424E"/>
    <w:rsid w:val="00136D80"/>
    <w:rsid w:val="001420CC"/>
    <w:rsid w:val="0014333E"/>
    <w:rsid w:val="0014766B"/>
    <w:rsid w:val="00156EA6"/>
    <w:rsid w:val="00165BFD"/>
    <w:rsid w:val="0017361C"/>
    <w:rsid w:val="00174B9C"/>
    <w:rsid w:val="00175369"/>
    <w:rsid w:val="0017719B"/>
    <w:rsid w:val="0018074E"/>
    <w:rsid w:val="00184DC0"/>
    <w:rsid w:val="00190023"/>
    <w:rsid w:val="00195EE5"/>
    <w:rsid w:val="001A4F20"/>
    <w:rsid w:val="001B07DD"/>
    <w:rsid w:val="001B2A56"/>
    <w:rsid w:val="001B3B5D"/>
    <w:rsid w:val="001B76F7"/>
    <w:rsid w:val="001C2133"/>
    <w:rsid w:val="001C5DA7"/>
    <w:rsid w:val="001D1153"/>
    <w:rsid w:val="001D4906"/>
    <w:rsid w:val="001E617B"/>
    <w:rsid w:val="001F259C"/>
    <w:rsid w:val="001F7CC8"/>
    <w:rsid w:val="002006FC"/>
    <w:rsid w:val="002010D2"/>
    <w:rsid w:val="00202706"/>
    <w:rsid w:val="0020463F"/>
    <w:rsid w:val="00206AEC"/>
    <w:rsid w:val="0021416E"/>
    <w:rsid w:val="00215762"/>
    <w:rsid w:val="00215F73"/>
    <w:rsid w:val="00223860"/>
    <w:rsid w:val="00224E70"/>
    <w:rsid w:val="00235A88"/>
    <w:rsid w:val="00237DF2"/>
    <w:rsid w:val="00237F52"/>
    <w:rsid w:val="0024274D"/>
    <w:rsid w:val="00244CC3"/>
    <w:rsid w:val="002464E4"/>
    <w:rsid w:val="0025107C"/>
    <w:rsid w:val="002758C8"/>
    <w:rsid w:val="00275C19"/>
    <w:rsid w:val="00276E4F"/>
    <w:rsid w:val="00277589"/>
    <w:rsid w:val="00280A98"/>
    <w:rsid w:val="002813CE"/>
    <w:rsid w:val="0028442A"/>
    <w:rsid w:val="002845A8"/>
    <w:rsid w:val="00285E1A"/>
    <w:rsid w:val="0028655B"/>
    <w:rsid w:val="00287B07"/>
    <w:rsid w:val="00291A2E"/>
    <w:rsid w:val="00291CCE"/>
    <w:rsid w:val="002972A1"/>
    <w:rsid w:val="002A4D5D"/>
    <w:rsid w:val="002B08EA"/>
    <w:rsid w:val="002B0CC0"/>
    <w:rsid w:val="002B45C3"/>
    <w:rsid w:val="002B6898"/>
    <w:rsid w:val="002C06DE"/>
    <w:rsid w:val="002C18F9"/>
    <w:rsid w:val="002C1BE1"/>
    <w:rsid w:val="002C66A9"/>
    <w:rsid w:val="002C79A7"/>
    <w:rsid w:val="002D05A9"/>
    <w:rsid w:val="002D2441"/>
    <w:rsid w:val="002D3169"/>
    <w:rsid w:val="002D389D"/>
    <w:rsid w:val="002D7F50"/>
    <w:rsid w:val="002E32F7"/>
    <w:rsid w:val="002F309D"/>
    <w:rsid w:val="002F5240"/>
    <w:rsid w:val="002F6019"/>
    <w:rsid w:val="002F6C97"/>
    <w:rsid w:val="0030760E"/>
    <w:rsid w:val="00314127"/>
    <w:rsid w:val="00317638"/>
    <w:rsid w:val="00323D9C"/>
    <w:rsid w:val="00323FCF"/>
    <w:rsid w:val="003324D9"/>
    <w:rsid w:val="00333CA1"/>
    <w:rsid w:val="003375E6"/>
    <w:rsid w:val="003530F1"/>
    <w:rsid w:val="003532E6"/>
    <w:rsid w:val="00357E91"/>
    <w:rsid w:val="00362827"/>
    <w:rsid w:val="00364452"/>
    <w:rsid w:val="003654A9"/>
    <w:rsid w:val="003713B8"/>
    <w:rsid w:val="00372A4B"/>
    <w:rsid w:val="00373425"/>
    <w:rsid w:val="0038101F"/>
    <w:rsid w:val="003816C5"/>
    <w:rsid w:val="0038770E"/>
    <w:rsid w:val="003909BE"/>
    <w:rsid w:val="00390ECE"/>
    <w:rsid w:val="00391BE7"/>
    <w:rsid w:val="00392142"/>
    <w:rsid w:val="003959AA"/>
    <w:rsid w:val="00395CDF"/>
    <w:rsid w:val="003A4CEE"/>
    <w:rsid w:val="003A6799"/>
    <w:rsid w:val="003A7396"/>
    <w:rsid w:val="003B0F9C"/>
    <w:rsid w:val="003C0916"/>
    <w:rsid w:val="003C2117"/>
    <w:rsid w:val="003C3136"/>
    <w:rsid w:val="003C488E"/>
    <w:rsid w:val="003C68B0"/>
    <w:rsid w:val="003C6D7C"/>
    <w:rsid w:val="003E6866"/>
    <w:rsid w:val="003F1FA7"/>
    <w:rsid w:val="003F221D"/>
    <w:rsid w:val="003F63E8"/>
    <w:rsid w:val="00400D64"/>
    <w:rsid w:val="00400FB7"/>
    <w:rsid w:val="00414A3A"/>
    <w:rsid w:val="004222C1"/>
    <w:rsid w:val="0042529A"/>
    <w:rsid w:val="00427518"/>
    <w:rsid w:val="004365D5"/>
    <w:rsid w:val="00437BA9"/>
    <w:rsid w:val="00442506"/>
    <w:rsid w:val="00443343"/>
    <w:rsid w:val="00444DB3"/>
    <w:rsid w:val="00451163"/>
    <w:rsid w:val="00455CC9"/>
    <w:rsid w:val="0045658E"/>
    <w:rsid w:val="004565B1"/>
    <w:rsid w:val="004603AB"/>
    <w:rsid w:val="004629A4"/>
    <w:rsid w:val="00472058"/>
    <w:rsid w:val="00475291"/>
    <w:rsid w:val="00476249"/>
    <w:rsid w:val="00483219"/>
    <w:rsid w:val="00487DB3"/>
    <w:rsid w:val="0049298C"/>
    <w:rsid w:val="004A23AA"/>
    <w:rsid w:val="004B2C4A"/>
    <w:rsid w:val="004B47E8"/>
    <w:rsid w:val="004C24B0"/>
    <w:rsid w:val="004C57D1"/>
    <w:rsid w:val="004D0112"/>
    <w:rsid w:val="004D5365"/>
    <w:rsid w:val="004D5FD2"/>
    <w:rsid w:val="004D7707"/>
    <w:rsid w:val="004E130E"/>
    <w:rsid w:val="004E4B16"/>
    <w:rsid w:val="004E5F5A"/>
    <w:rsid w:val="004E6C0B"/>
    <w:rsid w:val="004F0627"/>
    <w:rsid w:val="004F0774"/>
    <w:rsid w:val="004F3A29"/>
    <w:rsid w:val="004F512B"/>
    <w:rsid w:val="004F7BE0"/>
    <w:rsid w:val="00500ACE"/>
    <w:rsid w:val="00505AC7"/>
    <w:rsid w:val="00506A1C"/>
    <w:rsid w:val="00511C02"/>
    <w:rsid w:val="00511D84"/>
    <w:rsid w:val="00514AE9"/>
    <w:rsid w:val="0051643F"/>
    <w:rsid w:val="005202F9"/>
    <w:rsid w:val="00520B37"/>
    <w:rsid w:val="0052464E"/>
    <w:rsid w:val="00532FB6"/>
    <w:rsid w:val="00533722"/>
    <w:rsid w:val="00534721"/>
    <w:rsid w:val="005354DC"/>
    <w:rsid w:val="00536928"/>
    <w:rsid w:val="005419DB"/>
    <w:rsid w:val="00552BB9"/>
    <w:rsid w:val="00553A42"/>
    <w:rsid w:val="00554FA7"/>
    <w:rsid w:val="005578FF"/>
    <w:rsid w:val="00562401"/>
    <w:rsid w:val="0056393C"/>
    <w:rsid w:val="005715E3"/>
    <w:rsid w:val="00575958"/>
    <w:rsid w:val="00580400"/>
    <w:rsid w:val="005921A0"/>
    <w:rsid w:val="00596B0F"/>
    <w:rsid w:val="005A2464"/>
    <w:rsid w:val="005A2868"/>
    <w:rsid w:val="005A5A88"/>
    <w:rsid w:val="005B1B28"/>
    <w:rsid w:val="005B3186"/>
    <w:rsid w:val="005B5613"/>
    <w:rsid w:val="005B70D2"/>
    <w:rsid w:val="005B73B1"/>
    <w:rsid w:val="005C06D9"/>
    <w:rsid w:val="005C736F"/>
    <w:rsid w:val="005D3DFE"/>
    <w:rsid w:val="005D6C09"/>
    <w:rsid w:val="005E7D6C"/>
    <w:rsid w:val="0060003A"/>
    <w:rsid w:val="00601552"/>
    <w:rsid w:val="00601B67"/>
    <w:rsid w:val="00601ED6"/>
    <w:rsid w:val="006127B7"/>
    <w:rsid w:val="00616A0D"/>
    <w:rsid w:val="0062396F"/>
    <w:rsid w:val="006252C4"/>
    <w:rsid w:val="00631686"/>
    <w:rsid w:val="006335B3"/>
    <w:rsid w:val="00633906"/>
    <w:rsid w:val="00634D9C"/>
    <w:rsid w:val="00634F14"/>
    <w:rsid w:val="00646F24"/>
    <w:rsid w:val="0065062D"/>
    <w:rsid w:val="00653B28"/>
    <w:rsid w:val="006566F1"/>
    <w:rsid w:val="0066138A"/>
    <w:rsid w:val="006626DF"/>
    <w:rsid w:val="00667E7A"/>
    <w:rsid w:val="00670F24"/>
    <w:rsid w:val="0067199B"/>
    <w:rsid w:val="00676768"/>
    <w:rsid w:val="00677878"/>
    <w:rsid w:val="00681481"/>
    <w:rsid w:val="00681BA3"/>
    <w:rsid w:val="006836F7"/>
    <w:rsid w:val="00685F09"/>
    <w:rsid w:val="00690865"/>
    <w:rsid w:val="00694C3D"/>
    <w:rsid w:val="006952E6"/>
    <w:rsid w:val="006954EE"/>
    <w:rsid w:val="00696760"/>
    <w:rsid w:val="00697C0B"/>
    <w:rsid w:val="006A3C15"/>
    <w:rsid w:val="006A5A85"/>
    <w:rsid w:val="006B7D48"/>
    <w:rsid w:val="006C05A3"/>
    <w:rsid w:val="006C5911"/>
    <w:rsid w:val="006C697E"/>
    <w:rsid w:val="006C6D33"/>
    <w:rsid w:val="006D3BCB"/>
    <w:rsid w:val="006D4BB4"/>
    <w:rsid w:val="006E1AFB"/>
    <w:rsid w:val="006E2950"/>
    <w:rsid w:val="006F48BC"/>
    <w:rsid w:val="00704196"/>
    <w:rsid w:val="00707BF4"/>
    <w:rsid w:val="007133D4"/>
    <w:rsid w:val="00715251"/>
    <w:rsid w:val="0072038D"/>
    <w:rsid w:val="0072089E"/>
    <w:rsid w:val="007231B7"/>
    <w:rsid w:val="00725FBF"/>
    <w:rsid w:val="00730E44"/>
    <w:rsid w:val="00732A21"/>
    <w:rsid w:val="0073374A"/>
    <w:rsid w:val="007362F6"/>
    <w:rsid w:val="0074682C"/>
    <w:rsid w:val="00747642"/>
    <w:rsid w:val="00754066"/>
    <w:rsid w:val="007555E6"/>
    <w:rsid w:val="00757919"/>
    <w:rsid w:val="0076163F"/>
    <w:rsid w:val="007619BE"/>
    <w:rsid w:val="007636F0"/>
    <w:rsid w:val="00763E85"/>
    <w:rsid w:val="00775B33"/>
    <w:rsid w:val="00776428"/>
    <w:rsid w:val="007764B1"/>
    <w:rsid w:val="00790AF4"/>
    <w:rsid w:val="007929B9"/>
    <w:rsid w:val="0079795E"/>
    <w:rsid w:val="007A1E2C"/>
    <w:rsid w:val="007A351B"/>
    <w:rsid w:val="007A357A"/>
    <w:rsid w:val="007B1523"/>
    <w:rsid w:val="007B1AD5"/>
    <w:rsid w:val="007B2EB0"/>
    <w:rsid w:val="007C36C6"/>
    <w:rsid w:val="007C7409"/>
    <w:rsid w:val="007D4F56"/>
    <w:rsid w:val="007E27BE"/>
    <w:rsid w:val="007E4D3E"/>
    <w:rsid w:val="007E5089"/>
    <w:rsid w:val="007E6666"/>
    <w:rsid w:val="007F3F74"/>
    <w:rsid w:val="007F6911"/>
    <w:rsid w:val="007F7717"/>
    <w:rsid w:val="008014F5"/>
    <w:rsid w:val="008051FD"/>
    <w:rsid w:val="00806BE9"/>
    <w:rsid w:val="008075C9"/>
    <w:rsid w:val="00813871"/>
    <w:rsid w:val="00823EAC"/>
    <w:rsid w:val="00827B77"/>
    <w:rsid w:val="008311FF"/>
    <w:rsid w:val="00833C79"/>
    <w:rsid w:val="00834E74"/>
    <w:rsid w:val="00836236"/>
    <w:rsid w:val="008362EF"/>
    <w:rsid w:val="0084367A"/>
    <w:rsid w:val="00845B8C"/>
    <w:rsid w:val="0085619F"/>
    <w:rsid w:val="0086049C"/>
    <w:rsid w:val="008641B0"/>
    <w:rsid w:val="00864BFD"/>
    <w:rsid w:val="00865230"/>
    <w:rsid w:val="00870A36"/>
    <w:rsid w:val="008742F7"/>
    <w:rsid w:val="00876A2B"/>
    <w:rsid w:val="00877219"/>
    <w:rsid w:val="008805B9"/>
    <w:rsid w:val="008825B7"/>
    <w:rsid w:val="008826A0"/>
    <w:rsid w:val="00883DF4"/>
    <w:rsid w:val="00895DD8"/>
    <w:rsid w:val="00897AF8"/>
    <w:rsid w:val="008A4FEB"/>
    <w:rsid w:val="008A5B6B"/>
    <w:rsid w:val="008C2AB2"/>
    <w:rsid w:val="008C4AF0"/>
    <w:rsid w:val="008C595B"/>
    <w:rsid w:val="008C5C98"/>
    <w:rsid w:val="008D5F39"/>
    <w:rsid w:val="008E3AA2"/>
    <w:rsid w:val="008E4527"/>
    <w:rsid w:val="008F6247"/>
    <w:rsid w:val="008F7E2C"/>
    <w:rsid w:val="00902353"/>
    <w:rsid w:val="00905243"/>
    <w:rsid w:val="00906408"/>
    <w:rsid w:val="0090657D"/>
    <w:rsid w:val="00907862"/>
    <w:rsid w:val="00910620"/>
    <w:rsid w:val="00912DAE"/>
    <w:rsid w:val="0091472C"/>
    <w:rsid w:val="00916E3F"/>
    <w:rsid w:val="00916EBA"/>
    <w:rsid w:val="0092093E"/>
    <w:rsid w:val="00922E9A"/>
    <w:rsid w:val="00924E57"/>
    <w:rsid w:val="00927985"/>
    <w:rsid w:val="009318B8"/>
    <w:rsid w:val="009357F4"/>
    <w:rsid w:val="00941712"/>
    <w:rsid w:val="00947213"/>
    <w:rsid w:val="0094778B"/>
    <w:rsid w:val="009507F3"/>
    <w:rsid w:val="009522A8"/>
    <w:rsid w:val="00953D84"/>
    <w:rsid w:val="00960A4C"/>
    <w:rsid w:val="00961AF3"/>
    <w:rsid w:val="00963EFD"/>
    <w:rsid w:val="0097430D"/>
    <w:rsid w:val="00974AE1"/>
    <w:rsid w:val="0099216A"/>
    <w:rsid w:val="009948C7"/>
    <w:rsid w:val="00994C1F"/>
    <w:rsid w:val="009A16F6"/>
    <w:rsid w:val="009A1DFE"/>
    <w:rsid w:val="009A29CC"/>
    <w:rsid w:val="009A3859"/>
    <w:rsid w:val="009A5D99"/>
    <w:rsid w:val="009B2078"/>
    <w:rsid w:val="009B44A7"/>
    <w:rsid w:val="009B74A7"/>
    <w:rsid w:val="009D1E71"/>
    <w:rsid w:val="009E411C"/>
    <w:rsid w:val="009F4E7B"/>
    <w:rsid w:val="009F5D97"/>
    <w:rsid w:val="00A021F1"/>
    <w:rsid w:val="00A03528"/>
    <w:rsid w:val="00A1407B"/>
    <w:rsid w:val="00A147F5"/>
    <w:rsid w:val="00A26B63"/>
    <w:rsid w:val="00A41B5C"/>
    <w:rsid w:val="00A47A6A"/>
    <w:rsid w:val="00A51732"/>
    <w:rsid w:val="00A5462C"/>
    <w:rsid w:val="00A556AF"/>
    <w:rsid w:val="00A620DD"/>
    <w:rsid w:val="00A62935"/>
    <w:rsid w:val="00A63C3A"/>
    <w:rsid w:val="00A70CE8"/>
    <w:rsid w:val="00A71191"/>
    <w:rsid w:val="00A72B9E"/>
    <w:rsid w:val="00A736D5"/>
    <w:rsid w:val="00A863A6"/>
    <w:rsid w:val="00A903F4"/>
    <w:rsid w:val="00A906A7"/>
    <w:rsid w:val="00A90882"/>
    <w:rsid w:val="00A910FF"/>
    <w:rsid w:val="00A93BF4"/>
    <w:rsid w:val="00A95474"/>
    <w:rsid w:val="00AA0263"/>
    <w:rsid w:val="00AA262D"/>
    <w:rsid w:val="00AA5677"/>
    <w:rsid w:val="00AB13FF"/>
    <w:rsid w:val="00AB1A75"/>
    <w:rsid w:val="00AB2FF7"/>
    <w:rsid w:val="00AB36A2"/>
    <w:rsid w:val="00AB65AE"/>
    <w:rsid w:val="00AC1256"/>
    <w:rsid w:val="00AC1726"/>
    <w:rsid w:val="00AC393E"/>
    <w:rsid w:val="00AC54D8"/>
    <w:rsid w:val="00AD2287"/>
    <w:rsid w:val="00AD2812"/>
    <w:rsid w:val="00AD28A2"/>
    <w:rsid w:val="00AD7243"/>
    <w:rsid w:val="00AE1697"/>
    <w:rsid w:val="00AE3B76"/>
    <w:rsid w:val="00AE6AFE"/>
    <w:rsid w:val="00AE6E0A"/>
    <w:rsid w:val="00AF34D4"/>
    <w:rsid w:val="00AF3CE9"/>
    <w:rsid w:val="00AF4C3F"/>
    <w:rsid w:val="00AF6983"/>
    <w:rsid w:val="00B014D9"/>
    <w:rsid w:val="00B100DC"/>
    <w:rsid w:val="00B116F0"/>
    <w:rsid w:val="00B12979"/>
    <w:rsid w:val="00B24752"/>
    <w:rsid w:val="00B3595C"/>
    <w:rsid w:val="00B368D9"/>
    <w:rsid w:val="00B36A27"/>
    <w:rsid w:val="00B40BEC"/>
    <w:rsid w:val="00B41D66"/>
    <w:rsid w:val="00B42822"/>
    <w:rsid w:val="00B54E19"/>
    <w:rsid w:val="00B626A2"/>
    <w:rsid w:val="00B6306F"/>
    <w:rsid w:val="00B64AA3"/>
    <w:rsid w:val="00B7428A"/>
    <w:rsid w:val="00B81862"/>
    <w:rsid w:val="00B84E81"/>
    <w:rsid w:val="00B873AB"/>
    <w:rsid w:val="00B94EF4"/>
    <w:rsid w:val="00B96820"/>
    <w:rsid w:val="00BA30EE"/>
    <w:rsid w:val="00BA34EC"/>
    <w:rsid w:val="00BA555D"/>
    <w:rsid w:val="00BB0623"/>
    <w:rsid w:val="00BB067F"/>
    <w:rsid w:val="00BB6303"/>
    <w:rsid w:val="00BC005C"/>
    <w:rsid w:val="00BC1DE3"/>
    <w:rsid w:val="00BC433C"/>
    <w:rsid w:val="00BC648A"/>
    <w:rsid w:val="00BD0A12"/>
    <w:rsid w:val="00BE0F2B"/>
    <w:rsid w:val="00BE371A"/>
    <w:rsid w:val="00BE46A1"/>
    <w:rsid w:val="00BE7EC5"/>
    <w:rsid w:val="00BF3997"/>
    <w:rsid w:val="00BF5073"/>
    <w:rsid w:val="00BF6D76"/>
    <w:rsid w:val="00C016FB"/>
    <w:rsid w:val="00C054B9"/>
    <w:rsid w:val="00C103E3"/>
    <w:rsid w:val="00C12C2D"/>
    <w:rsid w:val="00C12D1B"/>
    <w:rsid w:val="00C14CA0"/>
    <w:rsid w:val="00C14D4A"/>
    <w:rsid w:val="00C16213"/>
    <w:rsid w:val="00C16A85"/>
    <w:rsid w:val="00C16D27"/>
    <w:rsid w:val="00C1798F"/>
    <w:rsid w:val="00C20AED"/>
    <w:rsid w:val="00C20E00"/>
    <w:rsid w:val="00C2141E"/>
    <w:rsid w:val="00C21C92"/>
    <w:rsid w:val="00C223C9"/>
    <w:rsid w:val="00C242E8"/>
    <w:rsid w:val="00C24328"/>
    <w:rsid w:val="00C26164"/>
    <w:rsid w:val="00C26FA0"/>
    <w:rsid w:val="00C36CB2"/>
    <w:rsid w:val="00C45A73"/>
    <w:rsid w:val="00C4635A"/>
    <w:rsid w:val="00C57262"/>
    <w:rsid w:val="00C63504"/>
    <w:rsid w:val="00C64F7A"/>
    <w:rsid w:val="00C67650"/>
    <w:rsid w:val="00C80EC0"/>
    <w:rsid w:val="00C826C5"/>
    <w:rsid w:val="00C835D4"/>
    <w:rsid w:val="00C85F83"/>
    <w:rsid w:val="00C9126E"/>
    <w:rsid w:val="00C923F1"/>
    <w:rsid w:val="00C953B2"/>
    <w:rsid w:val="00C957CD"/>
    <w:rsid w:val="00C9775F"/>
    <w:rsid w:val="00C977D9"/>
    <w:rsid w:val="00CA07F5"/>
    <w:rsid w:val="00CA2A7F"/>
    <w:rsid w:val="00CA7BA0"/>
    <w:rsid w:val="00CB2D89"/>
    <w:rsid w:val="00CC1F5C"/>
    <w:rsid w:val="00CC2D33"/>
    <w:rsid w:val="00CC3E8D"/>
    <w:rsid w:val="00CC41D0"/>
    <w:rsid w:val="00CC6EE1"/>
    <w:rsid w:val="00CC7FA9"/>
    <w:rsid w:val="00CD0F5B"/>
    <w:rsid w:val="00CD1EA0"/>
    <w:rsid w:val="00CD7779"/>
    <w:rsid w:val="00CE0411"/>
    <w:rsid w:val="00CE1C3D"/>
    <w:rsid w:val="00CE5D79"/>
    <w:rsid w:val="00CE6D88"/>
    <w:rsid w:val="00CE7AF2"/>
    <w:rsid w:val="00CE7DF2"/>
    <w:rsid w:val="00CF22A4"/>
    <w:rsid w:val="00CF3588"/>
    <w:rsid w:val="00CF4E27"/>
    <w:rsid w:val="00CF5B28"/>
    <w:rsid w:val="00D01613"/>
    <w:rsid w:val="00D05E12"/>
    <w:rsid w:val="00D10447"/>
    <w:rsid w:val="00D11368"/>
    <w:rsid w:val="00D114A9"/>
    <w:rsid w:val="00D12DEF"/>
    <w:rsid w:val="00D12F9F"/>
    <w:rsid w:val="00D14A9E"/>
    <w:rsid w:val="00D15781"/>
    <w:rsid w:val="00D16374"/>
    <w:rsid w:val="00D1638B"/>
    <w:rsid w:val="00D20680"/>
    <w:rsid w:val="00D24E71"/>
    <w:rsid w:val="00D26747"/>
    <w:rsid w:val="00D3182C"/>
    <w:rsid w:val="00D35107"/>
    <w:rsid w:val="00D36E5B"/>
    <w:rsid w:val="00D37AB5"/>
    <w:rsid w:val="00D45235"/>
    <w:rsid w:val="00D4587E"/>
    <w:rsid w:val="00D47909"/>
    <w:rsid w:val="00D565FB"/>
    <w:rsid w:val="00D60B25"/>
    <w:rsid w:val="00D652CF"/>
    <w:rsid w:val="00D70622"/>
    <w:rsid w:val="00D74E58"/>
    <w:rsid w:val="00D83861"/>
    <w:rsid w:val="00D90CC1"/>
    <w:rsid w:val="00D945C9"/>
    <w:rsid w:val="00D978FF"/>
    <w:rsid w:val="00DA1BB2"/>
    <w:rsid w:val="00DA29D3"/>
    <w:rsid w:val="00DA35C4"/>
    <w:rsid w:val="00DA41EB"/>
    <w:rsid w:val="00DA5109"/>
    <w:rsid w:val="00DB202F"/>
    <w:rsid w:val="00DC2D26"/>
    <w:rsid w:val="00DC2E25"/>
    <w:rsid w:val="00DC5BBB"/>
    <w:rsid w:val="00DC6EC1"/>
    <w:rsid w:val="00DC7E74"/>
    <w:rsid w:val="00DD2E82"/>
    <w:rsid w:val="00DD568D"/>
    <w:rsid w:val="00DD77D5"/>
    <w:rsid w:val="00DE2CF6"/>
    <w:rsid w:val="00DE3F0E"/>
    <w:rsid w:val="00DF1B63"/>
    <w:rsid w:val="00DF4A4B"/>
    <w:rsid w:val="00DF7B17"/>
    <w:rsid w:val="00E04474"/>
    <w:rsid w:val="00E05D14"/>
    <w:rsid w:val="00E10000"/>
    <w:rsid w:val="00E1062A"/>
    <w:rsid w:val="00E134BD"/>
    <w:rsid w:val="00E151F1"/>
    <w:rsid w:val="00E17A80"/>
    <w:rsid w:val="00E2000D"/>
    <w:rsid w:val="00E2456B"/>
    <w:rsid w:val="00E24879"/>
    <w:rsid w:val="00E259F9"/>
    <w:rsid w:val="00E265CE"/>
    <w:rsid w:val="00E26884"/>
    <w:rsid w:val="00E31703"/>
    <w:rsid w:val="00E331F3"/>
    <w:rsid w:val="00E34439"/>
    <w:rsid w:val="00E37C71"/>
    <w:rsid w:val="00E4305F"/>
    <w:rsid w:val="00E43D07"/>
    <w:rsid w:val="00E44E82"/>
    <w:rsid w:val="00E508BC"/>
    <w:rsid w:val="00E50C5B"/>
    <w:rsid w:val="00E56414"/>
    <w:rsid w:val="00E56687"/>
    <w:rsid w:val="00E611E8"/>
    <w:rsid w:val="00E6141F"/>
    <w:rsid w:val="00E64F2B"/>
    <w:rsid w:val="00E64FEA"/>
    <w:rsid w:val="00E66FEB"/>
    <w:rsid w:val="00E720A2"/>
    <w:rsid w:val="00E8067A"/>
    <w:rsid w:val="00E84E1B"/>
    <w:rsid w:val="00E86C77"/>
    <w:rsid w:val="00E86C82"/>
    <w:rsid w:val="00E9047C"/>
    <w:rsid w:val="00E9285F"/>
    <w:rsid w:val="00E955C2"/>
    <w:rsid w:val="00EA0D9E"/>
    <w:rsid w:val="00EA1B52"/>
    <w:rsid w:val="00EA28BA"/>
    <w:rsid w:val="00EB1177"/>
    <w:rsid w:val="00EB1EC3"/>
    <w:rsid w:val="00EB20BB"/>
    <w:rsid w:val="00EB43A4"/>
    <w:rsid w:val="00EB4940"/>
    <w:rsid w:val="00EB61EE"/>
    <w:rsid w:val="00EB7D18"/>
    <w:rsid w:val="00EC455B"/>
    <w:rsid w:val="00EC4965"/>
    <w:rsid w:val="00EC5CFD"/>
    <w:rsid w:val="00EC6E75"/>
    <w:rsid w:val="00ED0D2F"/>
    <w:rsid w:val="00ED1EB5"/>
    <w:rsid w:val="00ED3B44"/>
    <w:rsid w:val="00ED5A4F"/>
    <w:rsid w:val="00ED614A"/>
    <w:rsid w:val="00ED6BB4"/>
    <w:rsid w:val="00EE0F73"/>
    <w:rsid w:val="00EE5570"/>
    <w:rsid w:val="00EF0B09"/>
    <w:rsid w:val="00EF4832"/>
    <w:rsid w:val="00EF576C"/>
    <w:rsid w:val="00F00348"/>
    <w:rsid w:val="00F0191C"/>
    <w:rsid w:val="00F06131"/>
    <w:rsid w:val="00F14989"/>
    <w:rsid w:val="00F15431"/>
    <w:rsid w:val="00F20FA5"/>
    <w:rsid w:val="00F22D42"/>
    <w:rsid w:val="00F25273"/>
    <w:rsid w:val="00F26151"/>
    <w:rsid w:val="00F331C0"/>
    <w:rsid w:val="00F332FC"/>
    <w:rsid w:val="00F35607"/>
    <w:rsid w:val="00F379A8"/>
    <w:rsid w:val="00F42AB6"/>
    <w:rsid w:val="00F458BF"/>
    <w:rsid w:val="00F45C27"/>
    <w:rsid w:val="00F57C09"/>
    <w:rsid w:val="00F60A3B"/>
    <w:rsid w:val="00F61A4C"/>
    <w:rsid w:val="00F71999"/>
    <w:rsid w:val="00F8067D"/>
    <w:rsid w:val="00F83C22"/>
    <w:rsid w:val="00F83EA0"/>
    <w:rsid w:val="00F84E4E"/>
    <w:rsid w:val="00F8679D"/>
    <w:rsid w:val="00F904F3"/>
    <w:rsid w:val="00F90FF3"/>
    <w:rsid w:val="00F919F6"/>
    <w:rsid w:val="00F92A0C"/>
    <w:rsid w:val="00F93561"/>
    <w:rsid w:val="00FA3E5B"/>
    <w:rsid w:val="00FA68AE"/>
    <w:rsid w:val="00FA7884"/>
    <w:rsid w:val="00FB0ADC"/>
    <w:rsid w:val="00FB4D36"/>
    <w:rsid w:val="00FB5C76"/>
    <w:rsid w:val="00FB6420"/>
    <w:rsid w:val="00FB7B8A"/>
    <w:rsid w:val="00FC1094"/>
    <w:rsid w:val="00FC1F16"/>
    <w:rsid w:val="00FC464D"/>
    <w:rsid w:val="00FD0DD1"/>
    <w:rsid w:val="00FD2A54"/>
    <w:rsid w:val="00FD6771"/>
    <w:rsid w:val="00FD6B0D"/>
    <w:rsid w:val="00FE1E2C"/>
    <w:rsid w:val="00FE2449"/>
    <w:rsid w:val="00FE25A1"/>
    <w:rsid w:val="00FE32CB"/>
    <w:rsid w:val="00FE35AC"/>
    <w:rsid w:val="076B7B5A"/>
    <w:rsid w:val="24CC42EC"/>
    <w:rsid w:val="2A6F6CF2"/>
    <w:rsid w:val="3CBA6927"/>
    <w:rsid w:val="470E5600"/>
    <w:rsid w:val="47694B3A"/>
    <w:rsid w:val="7CFB1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9978D"/>
  <w15:docId w15:val="{DAF768EB-ECAB-489E-8E64-F0BCB1F6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annotation subject"/>
    <w:basedOn w:val="a5"/>
    <w:next w:val="a5"/>
    <w:link w:val="a6"/>
    <w:qFormat/>
    <w:rPr>
      <w:b/>
      <w:bCs/>
    </w:rPr>
  </w:style>
  <w:style w:type="paragraph" w:styleId="a5">
    <w:name w:val="annotation text"/>
    <w:basedOn w:val="a"/>
    <w:link w:val="a7"/>
    <w:qFormat/>
    <w:pPr>
      <w:jc w:val="left"/>
    </w:pPr>
  </w:style>
  <w:style w:type="paragraph" w:styleId="7">
    <w:name w:val="toc 7"/>
    <w:basedOn w:val="a"/>
    <w:next w:val="a"/>
    <w:semiHidden/>
    <w:qFormat/>
    <w:pPr>
      <w:ind w:leftChars="1200" w:left="2520"/>
    </w:pPr>
  </w:style>
  <w:style w:type="paragraph" w:styleId="a8">
    <w:name w:val="Document Map"/>
    <w:basedOn w:val="a"/>
    <w:link w:val="a9"/>
    <w:qFormat/>
    <w:rPr>
      <w:rFonts w:ascii="宋体"/>
      <w:sz w:val="18"/>
      <w:szCs w:val="18"/>
    </w:rPr>
  </w:style>
  <w:style w:type="paragraph" w:styleId="aa">
    <w:name w:val="Body Text"/>
    <w:basedOn w:val="a"/>
    <w:qFormat/>
    <w:pPr>
      <w:spacing w:line="360" w:lineRule="auto"/>
    </w:pPr>
    <w:rPr>
      <w:rFonts w:ascii="仿宋_GB2312" w:eastAsia="仿宋_GB2312"/>
      <w:color w:val="000000"/>
      <w:kern w:val="0"/>
      <w:sz w:val="24"/>
      <w:szCs w:val="28"/>
    </w:rPr>
  </w:style>
  <w:style w:type="paragraph" w:styleId="ab">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qFormat/>
    <w:pPr>
      <w:spacing w:line="360" w:lineRule="auto"/>
      <w:ind w:firstLine="525"/>
    </w:pPr>
    <w:rPr>
      <w:rFonts w:ascii="宋体" w:hAnsi="宋体"/>
      <w:sz w:val="28"/>
      <w:szCs w:val="20"/>
    </w:r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0">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f1">
    <w:name w:val="Strong"/>
    <w:qFormat/>
    <w:rPr>
      <w:b/>
      <w:bCs/>
    </w:rPr>
  </w:style>
  <w:style w:type="character" w:styleId="af2">
    <w:name w:val="page number"/>
    <w:basedOn w:val="a1"/>
  </w:style>
  <w:style w:type="character" w:styleId="af3">
    <w:name w:val="FollowedHyperlink"/>
    <w:qFormat/>
    <w:rPr>
      <w:color w:val="800080"/>
      <w:u w:val="single"/>
    </w:rPr>
  </w:style>
  <w:style w:type="character" w:styleId="af4">
    <w:name w:val="Hyperlink"/>
    <w:uiPriority w:val="99"/>
    <w:rPr>
      <w:color w:val="0000FF"/>
      <w:u w:val="single"/>
    </w:rPr>
  </w:style>
  <w:style w:type="character" w:styleId="af5">
    <w:name w:val="annotation reference"/>
    <w:qFormat/>
    <w:rPr>
      <w:sz w:val="21"/>
      <w:szCs w:val="21"/>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qFormat/>
  </w:style>
  <w:style w:type="paragraph" w:customStyle="1" w:styleId="Char">
    <w:name w:val="Char"/>
    <w:basedOn w:val="a"/>
    <w:qFormat/>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0">
    <w:name w:val="HTML 预设格式 字符"/>
    <w:link w:val="HTML"/>
    <w:uiPriority w:val="99"/>
    <w:qFormat/>
    <w:rPr>
      <w:rFonts w:ascii="宋体" w:hAnsi="宋体" w:cs="宋体"/>
      <w:sz w:val="24"/>
      <w:szCs w:val="24"/>
    </w:rPr>
  </w:style>
  <w:style w:type="character" w:customStyle="1" w:styleId="a7">
    <w:name w:val="批注文字 字符"/>
    <w:link w:val="a5"/>
    <w:qFormat/>
    <w:rPr>
      <w:kern w:val="2"/>
      <w:sz w:val="21"/>
      <w:szCs w:val="24"/>
    </w:rPr>
  </w:style>
  <w:style w:type="character" w:customStyle="1" w:styleId="a6">
    <w:name w:val="批注主题 字符"/>
    <w:basedOn w:val="a7"/>
    <w:link w:val="a4"/>
    <w:qFormat/>
    <w:rPr>
      <w:kern w:val="2"/>
      <w:sz w:val="21"/>
      <w:szCs w:val="24"/>
    </w:rPr>
  </w:style>
  <w:style w:type="paragraph" w:customStyle="1" w:styleId="10">
    <w:name w:val="修订1"/>
    <w:hidden/>
    <w:uiPriority w:val="99"/>
    <w:semiHidden/>
    <w:qFormat/>
    <w:rPr>
      <w:kern w:val="2"/>
      <w:sz w:val="21"/>
      <w:szCs w:val="24"/>
    </w:rPr>
  </w:style>
  <w:style w:type="character" w:customStyle="1" w:styleId="af">
    <w:name w:val="页眉 字符"/>
    <w:link w:val="ae"/>
    <w:qFormat/>
    <w:rPr>
      <w:kern w:val="2"/>
      <w:sz w:val="18"/>
      <w:szCs w:val="18"/>
    </w:rPr>
  </w:style>
  <w:style w:type="character" w:customStyle="1" w:styleId="a9">
    <w:name w:val="文档结构图 字符"/>
    <w:link w:val="a8"/>
    <w:qFormat/>
    <w:rPr>
      <w:rFonts w:ascii="宋体"/>
      <w:kern w:val="2"/>
      <w:sz w:val="18"/>
      <w:szCs w:val="18"/>
    </w:rPr>
  </w:style>
  <w:style w:type="paragraph" w:styleId="af6">
    <w:name w:val="Revision"/>
    <w:hidden/>
    <w:uiPriority w:val="99"/>
    <w:semiHidden/>
    <w:rsid w:val="00AE16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37D08-906C-4026-9B51-DCA158604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48</Pages>
  <Words>4659</Words>
  <Characters>26561</Characters>
  <Application>Microsoft Office Word</Application>
  <DocSecurity>0</DocSecurity>
  <Lines>221</Lines>
  <Paragraphs>62</Paragraphs>
  <ScaleCrop>false</ScaleCrop>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肖志伟</cp:lastModifiedBy>
  <cp:revision>131</cp:revision>
  <cp:lastPrinted>2021-02-08T07:07:00Z</cp:lastPrinted>
  <dcterms:created xsi:type="dcterms:W3CDTF">2019-11-01T07:00:00Z</dcterms:created>
  <dcterms:modified xsi:type="dcterms:W3CDTF">2021-02-18T08:03:00Z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