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A0E14" w14:textId="77777777" w:rsidR="004763B4" w:rsidRDefault="004763B4">
      <w:pPr>
        <w:adjustRightInd w:val="0"/>
        <w:snapToGrid w:val="0"/>
        <w:jc w:val="center"/>
        <w:rPr>
          <w:rFonts w:ascii="彩虹粗仿宋" w:eastAsia="彩虹粗仿宋" w:hAnsi="宋体" w:cs="Arial"/>
          <w:sz w:val="44"/>
          <w:szCs w:val="44"/>
        </w:rPr>
      </w:pPr>
    </w:p>
    <w:p w14:paraId="7A6ADC5F" w14:textId="77777777" w:rsidR="004763B4" w:rsidRDefault="004763B4">
      <w:pPr>
        <w:adjustRightInd w:val="0"/>
        <w:snapToGrid w:val="0"/>
        <w:jc w:val="center"/>
        <w:rPr>
          <w:rFonts w:ascii="彩虹粗仿宋" w:eastAsia="彩虹粗仿宋" w:hAnsi="宋体" w:cs="Arial"/>
          <w:sz w:val="44"/>
          <w:szCs w:val="44"/>
        </w:rPr>
      </w:pPr>
    </w:p>
    <w:p w14:paraId="709510CF" w14:textId="77777777" w:rsidR="004763B4" w:rsidRDefault="004763B4">
      <w:pPr>
        <w:adjustRightInd w:val="0"/>
        <w:snapToGrid w:val="0"/>
        <w:jc w:val="center"/>
        <w:rPr>
          <w:rFonts w:ascii="彩虹粗仿宋" w:eastAsia="彩虹粗仿宋" w:hAnsi="宋体" w:cs="Arial"/>
          <w:sz w:val="44"/>
          <w:szCs w:val="44"/>
        </w:rPr>
      </w:pPr>
    </w:p>
    <w:p w14:paraId="21B2CF69" w14:textId="77777777" w:rsidR="004763B4" w:rsidRDefault="004763B4">
      <w:pPr>
        <w:adjustRightInd w:val="0"/>
        <w:snapToGrid w:val="0"/>
        <w:jc w:val="center"/>
        <w:rPr>
          <w:rFonts w:ascii="彩虹粗仿宋" w:eastAsia="彩虹粗仿宋" w:hAnsi="宋体" w:cs="Arial"/>
          <w:sz w:val="44"/>
          <w:szCs w:val="44"/>
        </w:rPr>
      </w:pPr>
    </w:p>
    <w:p w14:paraId="63CBAC82" w14:textId="77777777" w:rsidR="004763B4" w:rsidRDefault="00083262">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华泰柏瑞上证</w:t>
      </w:r>
      <w:proofErr w:type="gramStart"/>
      <w:r>
        <w:rPr>
          <w:rFonts w:ascii="彩虹粗仿宋" w:eastAsia="彩虹粗仿宋" w:hAnsi="宋体" w:cs="Arial" w:hint="eastAsia"/>
          <w:b/>
          <w:sz w:val="44"/>
          <w:szCs w:val="44"/>
        </w:rPr>
        <w:t>科创板</w:t>
      </w:r>
      <w:proofErr w:type="gramEnd"/>
      <w:r>
        <w:rPr>
          <w:rFonts w:ascii="彩虹粗仿宋" w:eastAsia="彩虹粗仿宋" w:hAnsi="宋体" w:cs="Arial" w:hint="eastAsia"/>
          <w:b/>
          <w:sz w:val="44"/>
          <w:szCs w:val="44"/>
        </w:rPr>
        <w:t>50成份交易型开放式指数证券投资基金联接基金</w:t>
      </w:r>
    </w:p>
    <w:p w14:paraId="17A5EE5E" w14:textId="35E7FB6C" w:rsidR="004763B4" w:rsidRDefault="00083262">
      <w:pPr>
        <w:adjustRightInd w:val="0"/>
        <w:snapToGrid w:val="0"/>
        <w:jc w:val="center"/>
        <w:rPr>
          <w:rFonts w:ascii="彩虹粗仿宋" w:eastAsia="彩虹粗仿宋" w:hAnsi="宋体" w:cs="Arial"/>
          <w:b/>
          <w:sz w:val="44"/>
          <w:szCs w:val="44"/>
        </w:rPr>
      </w:pPr>
      <w:r>
        <w:rPr>
          <w:rFonts w:ascii="彩虹粗仿宋" w:eastAsia="彩虹粗仿宋" w:hAnsi="宋体" w:cs="Arial" w:hint="eastAsia"/>
          <w:b/>
          <w:sz w:val="44"/>
          <w:szCs w:val="44"/>
        </w:rPr>
        <w:t>托管协议</w:t>
      </w:r>
    </w:p>
    <w:p w14:paraId="53B63848" w14:textId="77777777" w:rsidR="004763B4" w:rsidRDefault="004763B4">
      <w:pPr>
        <w:adjustRightInd w:val="0"/>
        <w:snapToGrid w:val="0"/>
        <w:jc w:val="center"/>
        <w:rPr>
          <w:rFonts w:ascii="彩虹粗仿宋" w:eastAsia="彩虹粗仿宋" w:hAnsi="宋体" w:cs="Arial"/>
          <w:b/>
          <w:sz w:val="44"/>
          <w:szCs w:val="44"/>
        </w:rPr>
      </w:pPr>
    </w:p>
    <w:p w14:paraId="1099FB79" w14:textId="77777777" w:rsidR="004763B4" w:rsidRDefault="004763B4">
      <w:pPr>
        <w:adjustRightInd w:val="0"/>
        <w:snapToGrid w:val="0"/>
        <w:jc w:val="center"/>
        <w:outlineLvl w:val="0"/>
        <w:rPr>
          <w:rFonts w:ascii="彩虹粗仿宋" w:eastAsia="彩虹粗仿宋" w:hAnsi="宋体" w:cs="Arial"/>
          <w:sz w:val="44"/>
          <w:szCs w:val="44"/>
        </w:rPr>
      </w:pPr>
    </w:p>
    <w:p w14:paraId="7E511836" w14:textId="77777777" w:rsidR="004763B4" w:rsidRDefault="004763B4">
      <w:pPr>
        <w:adjustRightInd w:val="0"/>
        <w:snapToGrid w:val="0"/>
        <w:jc w:val="center"/>
        <w:outlineLvl w:val="0"/>
        <w:rPr>
          <w:rFonts w:ascii="彩虹粗仿宋" w:eastAsia="彩虹粗仿宋" w:hAnsi="宋体" w:cs="Arial"/>
          <w:sz w:val="44"/>
          <w:szCs w:val="44"/>
        </w:rPr>
      </w:pPr>
    </w:p>
    <w:p w14:paraId="081AC5DC" w14:textId="77777777" w:rsidR="004763B4" w:rsidRDefault="004763B4">
      <w:pPr>
        <w:adjustRightInd w:val="0"/>
        <w:snapToGrid w:val="0"/>
        <w:jc w:val="center"/>
        <w:outlineLvl w:val="0"/>
        <w:rPr>
          <w:rFonts w:ascii="彩虹粗仿宋" w:eastAsia="彩虹粗仿宋" w:hAnsi="宋体" w:cs="Arial"/>
          <w:sz w:val="44"/>
          <w:szCs w:val="44"/>
        </w:rPr>
      </w:pPr>
    </w:p>
    <w:p w14:paraId="06252E51" w14:textId="77777777" w:rsidR="004763B4" w:rsidRDefault="004763B4">
      <w:pPr>
        <w:adjustRightInd w:val="0"/>
        <w:snapToGrid w:val="0"/>
        <w:outlineLvl w:val="0"/>
        <w:rPr>
          <w:rFonts w:ascii="彩虹粗仿宋" w:eastAsia="彩虹粗仿宋" w:hAnsi="宋体" w:cs="Arial"/>
          <w:sz w:val="44"/>
          <w:szCs w:val="44"/>
        </w:rPr>
      </w:pPr>
    </w:p>
    <w:p w14:paraId="5B6E7F0A" w14:textId="77777777" w:rsidR="004763B4" w:rsidRDefault="0008326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14:paraId="390C8384" w14:textId="77777777" w:rsidR="004763B4" w:rsidRDefault="0008326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14:paraId="301E3379" w14:textId="77777777" w:rsidR="004763B4" w:rsidRDefault="004763B4">
      <w:pPr>
        <w:adjustRightInd w:val="0"/>
        <w:snapToGrid w:val="0"/>
        <w:jc w:val="center"/>
        <w:outlineLvl w:val="0"/>
        <w:rPr>
          <w:rFonts w:ascii="彩虹粗仿宋" w:eastAsia="彩虹粗仿宋" w:hAnsi="宋体" w:cs="Arial"/>
          <w:sz w:val="24"/>
        </w:rPr>
      </w:pPr>
    </w:p>
    <w:p w14:paraId="11A97E9A" w14:textId="77777777" w:rsidR="004763B4" w:rsidRDefault="004763B4">
      <w:pPr>
        <w:adjustRightInd w:val="0"/>
        <w:snapToGrid w:val="0"/>
        <w:jc w:val="center"/>
        <w:outlineLvl w:val="0"/>
        <w:rPr>
          <w:rFonts w:ascii="彩虹粗仿宋" w:eastAsia="彩虹粗仿宋" w:hAnsi="宋体" w:cs="Arial"/>
          <w:sz w:val="24"/>
        </w:rPr>
      </w:pPr>
    </w:p>
    <w:p w14:paraId="2E6AA506" w14:textId="77777777" w:rsidR="004763B4" w:rsidRDefault="004763B4">
      <w:pPr>
        <w:adjustRightInd w:val="0"/>
        <w:snapToGrid w:val="0"/>
        <w:jc w:val="center"/>
        <w:outlineLvl w:val="0"/>
        <w:rPr>
          <w:rFonts w:ascii="彩虹粗仿宋" w:eastAsia="彩虹粗仿宋" w:hAnsi="宋体" w:cs="Arial"/>
          <w:sz w:val="24"/>
        </w:rPr>
      </w:pPr>
    </w:p>
    <w:p w14:paraId="4C49B12B" w14:textId="77777777" w:rsidR="004763B4" w:rsidRDefault="004763B4">
      <w:pPr>
        <w:adjustRightInd w:val="0"/>
        <w:snapToGrid w:val="0"/>
        <w:outlineLvl w:val="0"/>
        <w:rPr>
          <w:rFonts w:ascii="彩虹粗仿宋" w:eastAsia="彩虹粗仿宋" w:hAnsi="宋体" w:cs="Arial"/>
          <w:sz w:val="24"/>
        </w:rPr>
      </w:pPr>
    </w:p>
    <w:p w14:paraId="421E9E3B" w14:textId="77777777" w:rsidR="004763B4" w:rsidRDefault="004763B4">
      <w:pPr>
        <w:adjustRightInd w:val="0"/>
        <w:snapToGrid w:val="0"/>
        <w:outlineLvl w:val="0"/>
        <w:rPr>
          <w:rFonts w:ascii="彩虹粗仿宋" w:eastAsia="彩虹粗仿宋" w:hAnsi="宋体" w:cs="Arial"/>
          <w:bCs/>
          <w:sz w:val="24"/>
        </w:rPr>
        <w:sectPr w:rsidR="004763B4">
          <w:footerReference w:type="even" r:id="rId8"/>
          <w:pgSz w:w="11906" w:h="16838"/>
          <w:pgMar w:top="1418" w:right="1701" w:bottom="1418" w:left="1701" w:header="851" w:footer="992" w:gutter="0"/>
          <w:cols w:space="720"/>
          <w:docGrid w:type="lines" w:linePitch="312"/>
        </w:sectPr>
      </w:pPr>
    </w:p>
    <w:p w14:paraId="2BA90E95" w14:textId="77777777" w:rsidR="004763B4" w:rsidRDefault="00083262">
      <w:pPr>
        <w:jc w:val="center"/>
        <w:rPr>
          <w:rFonts w:ascii="彩虹粗仿宋" w:eastAsia="彩虹粗仿宋"/>
          <w:b/>
          <w:bCs/>
          <w:sz w:val="30"/>
        </w:rPr>
      </w:pPr>
      <w:r>
        <w:rPr>
          <w:rFonts w:ascii="彩虹粗仿宋" w:eastAsia="彩虹粗仿宋" w:hint="eastAsia"/>
          <w:b/>
          <w:bCs/>
          <w:sz w:val="30"/>
        </w:rPr>
        <w:lastRenderedPageBreak/>
        <w:t>目    录</w:t>
      </w:r>
    </w:p>
    <w:p w14:paraId="0FA1391B" w14:textId="26ACD96E" w:rsidR="004763B4" w:rsidRDefault="002D50E4">
      <w:pPr>
        <w:pStyle w:val="TOC2"/>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sidR="00083262">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083262">
          <w:rPr>
            <w:rStyle w:val="af2"/>
            <w:rFonts w:ascii="彩虹粗仿宋" w:eastAsia="彩虹粗仿宋" w:hAnsi="宋体" w:hint="eastAsia"/>
            <w:noProof/>
            <w:sz w:val="28"/>
            <w:szCs w:val="32"/>
          </w:rPr>
          <w:t>一、基金托管协议当事人</w:t>
        </w:r>
        <w:r w:rsidR="00083262">
          <w:rPr>
            <w:rFonts w:ascii="彩虹粗仿宋" w:eastAsia="彩虹粗仿宋" w:hAnsi="宋体" w:hint="eastAsia"/>
            <w:noProof/>
            <w:sz w:val="28"/>
          </w:rPr>
          <w:tab/>
        </w:r>
        <w:r>
          <w:rPr>
            <w:rFonts w:ascii="彩虹粗仿宋" w:eastAsia="彩虹粗仿宋" w:hAnsi="宋体" w:hint="eastAsia"/>
            <w:noProof/>
            <w:sz w:val="28"/>
          </w:rPr>
          <w:fldChar w:fldCharType="begin"/>
        </w:r>
        <w:r w:rsidR="00083262">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61C1F">
          <w:rPr>
            <w:rFonts w:ascii="彩虹粗仿宋" w:eastAsia="彩虹粗仿宋" w:hAnsi="宋体"/>
            <w:noProof/>
            <w:sz w:val="28"/>
          </w:rPr>
          <w:t>3</w:t>
        </w:r>
        <w:r>
          <w:rPr>
            <w:rFonts w:ascii="彩虹粗仿宋" w:eastAsia="彩虹粗仿宋" w:hAnsi="宋体" w:hint="eastAsia"/>
            <w:noProof/>
            <w:sz w:val="28"/>
          </w:rPr>
          <w:fldChar w:fldCharType="end"/>
        </w:r>
      </w:hyperlink>
    </w:p>
    <w:p w14:paraId="37188585" w14:textId="3D4DE7E7" w:rsidR="004763B4" w:rsidRDefault="008F4339">
      <w:pPr>
        <w:pStyle w:val="TOC2"/>
        <w:tabs>
          <w:tab w:val="right" w:leader="dot" w:pos="8494"/>
        </w:tabs>
        <w:rPr>
          <w:rFonts w:ascii="彩虹粗仿宋" w:eastAsia="彩虹粗仿宋" w:hAnsi="宋体"/>
          <w:noProof/>
          <w:sz w:val="28"/>
        </w:rPr>
      </w:pPr>
      <w:hyperlink w:anchor="_Toc124325886" w:history="1">
        <w:r w:rsidR="00083262">
          <w:rPr>
            <w:rStyle w:val="af2"/>
            <w:rFonts w:ascii="彩虹粗仿宋" w:eastAsia="彩虹粗仿宋" w:hAnsi="宋体" w:hint="eastAsia"/>
            <w:noProof/>
            <w:sz w:val="28"/>
            <w:szCs w:val="32"/>
          </w:rPr>
          <w:t>二、基金托管协议的依据、目的和原则</w:t>
        </w:r>
        <w:r w:rsidR="00083262">
          <w:rPr>
            <w:rFonts w:ascii="彩虹粗仿宋" w:eastAsia="彩虹粗仿宋" w:hAnsi="宋体" w:hint="eastAsia"/>
            <w:noProof/>
            <w:sz w:val="28"/>
          </w:rPr>
          <w:tab/>
        </w:r>
        <w:r w:rsidR="002D50E4">
          <w:rPr>
            <w:rFonts w:ascii="彩虹粗仿宋" w:eastAsia="彩虹粗仿宋" w:hAnsi="宋体" w:hint="eastAsia"/>
            <w:noProof/>
            <w:sz w:val="28"/>
          </w:rPr>
          <w:fldChar w:fldCharType="begin"/>
        </w:r>
        <w:r w:rsidR="00083262">
          <w:rPr>
            <w:rFonts w:ascii="彩虹粗仿宋" w:eastAsia="彩虹粗仿宋" w:hAnsi="宋体" w:hint="eastAsia"/>
            <w:noProof/>
            <w:sz w:val="28"/>
          </w:rPr>
          <w:instrText xml:space="preserve"> PAGEREF _Toc124325886 \h </w:instrText>
        </w:r>
        <w:r w:rsidR="002D50E4">
          <w:rPr>
            <w:rFonts w:ascii="彩虹粗仿宋" w:eastAsia="彩虹粗仿宋" w:hAnsi="宋体" w:hint="eastAsia"/>
            <w:noProof/>
            <w:sz w:val="28"/>
          </w:rPr>
        </w:r>
        <w:r w:rsidR="002D50E4">
          <w:rPr>
            <w:rFonts w:ascii="彩虹粗仿宋" w:eastAsia="彩虹粗仿宋" w:hAnsi="宋体" w:hint="eastAsia"/>
            <w:noProof/>
            <w:sz w:val="28"/>
          </w:rPr>
          <w:fldChar w:fldCharType="separate"/>
        </w:r>
        <w:r w:rsidR="00F61C1F">
          <w:rPr>
            <w:rFonts w:ascii="彩虹粗仿宋" w:eastAsia="彩虹粗仿宋" w:hAnsi="宋体"/>
            <w:noProof/>
            <w:sz w:val="28"/>
          </w:rPr>
          <w:t>4</w:t>
        </w:r>
        <w:r w:rsidR="002D50E4">
          <w:rPr>
            <w:rFonts w:ascii="彩虹粗仿宋" w:eastAsia="彩虹粗仿宋" w:hAnsi="宋体" w:hint="eastAsia"/>
            <w:noProof/>
            <w:sz w:val="28"/>
          </w:rPr>
          <w:fldChar w:fldCharType="end"/>
        </w:r>
      </w:hyperlink>
    </w:p>
    <w:p w14:paraId="42C70872" w14:textId="053AA47D" w:rsidR="004763B4" w:rsidRDefault="008F4339">
      <w:pPr>
        <w:pStyle w:val="TOC2"/>
        <w:tabs>
          <w:tab w:val="right" w:leader="dot" w:pos="8494"/>
        </w:tabs>
        <w:rPr>
          <w:rFonts w:ascii="彩虹粗仿宋" w:eastAsia="彩虹粗仿宋" w:hAnsi="宋体"/>
          <w:noProof/>
          <w:sz w:val="28"/>
        </w:rPr>
      </w:pPr>
      <w:hyperlink w:anchor="_Toc124325887" w:history="1">
        <w:r w:rsidR="00083262">
          <w:rPr>
            <w:rStyle w:val="af2"/>
            <w:rFonts w:ascii="彩虹粗仿宋" w:eastAsia="彩虹粗仿宋" w:hAnsi="宋体" w:hint="eastAsia"/>
            <w:noProof/>
            <w:sz w:val="28"/>
            <w:szCs w:val="32"/>
          </w:rPr>
          <w:t>三、基金托管人对基金管理人的业务监督和核查</w:t>
        </w:r>
        <w:r w:rsidR="00083262">
          <w:rPr>
            <w:rFonts w:ascii="彩虹粗仿宋" w:eastAsia="彩虹粗仿宋" w:hAnsi="宋体" w:hint="eastAsia"/>
            <w:noProof/>
            <w:sz w:val="28"/>
          </w:rPr>
          <w:tab/>
        </w:r>
        <w:r w:rsidR="002D50E4">
          <w:rPr>
            <w:rFonts w:ascii="彩虹粗仿宋" w:eastAsia="彩虹粗仿宋" w:hAnsi="宋体" w:hint="eastAsia"/>
            <w:noProof/>
            <w:sz w:val="28"/>
          </w:rPr>
          <w:fldChar w:fldCharType="begin"/>
        </w:r>
        <w:r w:rsidR="00083262">
          <w:rPr>
            <w:rFonts w:ascii="彩虹粗仿宋" w:eastAsia="彩虹粗仿宋" w:hAnsi="宋体" w:hint="eastAsia"/>
            <w:noProof/>
            <w:sz w:val="28"/>
          </w:rPr>
          <w:instrText xml:space="preserve"> PAGEREF _Toc124325887 \h </w:instrText>
        </w:r>
        <w:r w:rsidR="002D50E4">
          <w:rPr>
            <w:rFonts w:ascii="彩虹粗仿宋" w:eastAsia="彩虹粗仿宋" w:hAnsi="宋体" w:hint="eastAsia"/>
            <w:noProof/>
            <w:sz w:val="28"/>
          </w:rPr>
        </w:r>
        <w:r w:rsidR="002D50E4">
          <w:rPr>
            <w:rFonts w:ascii="彩虹粗仿宋" w:eastAsia="彩虹粗仿宋" w:hAnsi="宋体" w:hint="eastAsia"/>
            <w:noProof/>
            <w:sz w:val="28"/>
          </w:rPr>
          <w:fldChar w:fldCharType="separate"/>
        </w:r>
        <w:r w:rsidR="00F61C1F">
          <w:rPr>
            <w:rFonts w:ascii="彩虹粗仿宋" w:eastAsia="彩虹粗仿宋" w:hAnsi="宋体"/>
            <w:noProof/>
            <w:sz w:val="28"/>
          </w:rPr>
          <w:t>4</w:t>
        </w:r>
        <w:r w:rsidR="002D50E4">
          <w:rPr>
            <w:rFonts w:ascii="彩虹粗仿宋" w:eastAsia="彩虹粗仿宋" w:hAnsi="宋体" w:hint="eastAsia"/>
            <w:noProof/>
            <w:sz w:val="28"/>
          </w:rPr>
          <w:fldChar w:fldCharType="end"/>
        </w:r>
      </w:hyperlink>
    </w:p>
    <w:p w14:paraId="689BE20A" w14:textId="2CBFA51A" w:rsidR="004763B4" w:rsidRDefault="008F4339">
      <w:pPr>
        <w:pStyle w:val="TOC2"/>
        <w:tabs>
          <w:tab w:val="right" w:leader="dot" w:pos="8494"/>
        </w:tabs>
        <w:rPr>
          <w:rFonts w:ascii="彩虹粗仿宋" w:eastAsia="彩虹粗仿宋" w:hAnsi="宋体"/>
          <w:noProof/>
          <w:sz w:val="28"/>
        </w:rPr>
      </w:pPr>
      <w:hyperlink w:anchor="_Toc124325888" w:history="1">
        <w:r w:rsidR="00083262">
          <w:rPr>
            <w:rStyle w:val="af2"/>
            <w:rFonts w:ascii="彩虹粗仿宋" w:eastAsia="彩虹粗仿宋" w:hAnsi="宋体" w:hint="eastAsia"/>
            <w:noProof/>
            <w:sz w:val="28"/>
            <w:szCs w:val="32"/>
          </w:rPr>
          <w:t>四、基金管理人对基金托管人的业务核查</w:t>
        </w:r>
        <w:r w:rsidR="00083262">
          <w:rPr>
            <w:rFonts w:ascii="彩虹粗仿宋" w:eastAsia="彩虹粗仿宋" w:hAnsi="宋体" w:hint="eastAsia"/>
            <w:noProof/>
            <w:sz w:val="28"/>
          </w:rPr>
          <w:tab/>
          <w:t>8</w:t>
        </w:r>
      </w:hyperlink>
    </w:p>
    <w:p w14:paraId="3F3B97AA" w14:textId="4F2DA857" w:rsidR="004763B4" w:rsidRDefault="008F4339">
      <w:pPr>
        <w:pStyle w:val="TOC2"/>
        <w:tabs>
          <w:tab w:val="right" w:leader="dot" w:pos="8494"/>
        </w:tabs>
        <w:rPr>
          <w:rFonts w:ascii="彩虹粗仿宋" w:eastAsia="彩虹粗仿宋" w:hAnsi="宋体"/>
          <w:noProof/>
          <w:sz w:val="28"/>
        </w:rPr>
      </w:pPr>
      <w:hyperlink w:anchor="_Toc124325889" w:history="1">
        <w:r w:rsidR="00083262">
          <w:rPr>
            <w:rStyle w:val="af2"/>
            <w:rFonts w:ascii="彩虹粗仿宋" w:eastAsia="彩虹粗仿宋" w:hAnsi="宋体" w:hint="eastAsia"/>
            <w:noProof/>
            <w:sz w:val="28"/>
            <w:szCs w:val="32"/>
          </w:rPr>
          <w:t>五、基金财产的保管</w:t>
        </w:r>
        <w:r w:rsidR="00083262">
          <w:rPr>
            <w:rFonts w:ascii="彩虹粗仿宋" w:eastAsia="彩虹粗仿宋" w:hAnsi="宋体" w:hint="eastAsia"/>
            <w:noProof/>
            <w:sz w:val="28"/>
          </w:rPr>
          <w:tab/>
          <w:t>9</w:t>
        </w:r>
      </w:hyperlink>
    </w:p>
    <w:p w14:paraId="6C361C29" w14:textId="259FFFE7" w:rsidR="004763B4" w:rsidRDefault="008F4339">
      <w:pPr>
        <w:pStyle w:val="TOC2"/>
        <w:tabs>
          <w:tab w:val="right" w:leader="dot" w:pos="8494"/>
        </w:tabs>
        <w:rPr>
          <w:rFonts w:ascii="彩虹粗仿宋" w:eastAsia="彩虹粗仿宋" w:hAnsi="宋体"/>
          <w:noProof/>
          <w:sz w:val="28"/>
        </w:rPr>
      </w:pPr>
      <w:hyperlink w:anchor="_Toc124325890" w:history="1">
        <w:r w:rsidR="00083262">
          <w:rPr>
            <w:rStyle w:val="af2"/>
            <w:rFonts w:ascii="彩虹粗仿宋" w:eastAsia="彩虹粗仿宋" w:hAnsi="宋体" w:hint="eastAsia"/>
            <w:noProof/>
            <w:sz w:val="28"/>
            <w:szCs w:val="32"/>
          </w:rPr>
          <w:t>六、指令的发送、确认及执行</w:t>
        </w:r>
        <w:r w:rsidR="00083262">
          <w:rPr>
            <w:rFonts w:ascii="彩虹粗仿宋" w:eastAsia="彩虹粗仿宋" w:hAnsi="宋体" w:hint="eastAsia"/>
            <w:noProof/>
            <w:sz w:val="28"/>
          </w:rPr>
          <w:tab/>
          <w:t>11</w:t>
        </w:r>
      </w:hyperlink>
    </w:p>
    <w:p w14:paraId="72E35511" w14:textId="062902C9" w:rsidR="004763B4" w:rsidRDefault="008F4339">
      <w:pPr>
        <w:pStyle w:val="TOC2"/>
        <w:tabs>
          <w:tab w:val="right" w:leader="dot" w:pos="8494"/>
        </w:tabs>
        <w:rPr>
          <w:rFonts w:ascii="彩虹粗仿宋" w:eastAsia="彩虹粗仿宋" w:hAnsi="宋体"/>
          <w:noProof/>
          <w:sz w:val="28"/>
        </w:rPr>
      </w:pPr>
      <w:hyperlink w:anchor="_Toc124325891" w:history="1">
        <w:r w:rsidR="00083262">
          <w:rPr>
            <w:rStyle w:val="af2"/>
            <w:rFonts w:ascii="彩虹粗仿宋" w:eastAsia="彩虹粗仿宋" w:hAnsi="宋体" w:hint="eastAsia"/>
            <w:noProof/>
            <w:sz w:val="28"/>
            <w:szCs w:val="32"/>
          </w:rPr>
          <w:t>七、交易及清算交收安排</w:t>
        </w:r>
        <w:r w:rsidR="00083262">
          <w:rPr>
            <w:rFonts w:ascii="彩虹粗仿宋" w:eastAsia="彩虹粗仿宋" w:hAnsi="宋体" w:hint="eastAsia"/>
            <w:noProof/>
            <w:sz w:val="28"/>
          </w:rPr>
          <w:tab/>
          <w:t>13</w:t>
        </w:r>
      </w:hyperlink>
    </w:p>
    <w:p w14:paraId="164356E7" w14:textId="6E5C7F88" w:rsidR="004763B4" w:rsidRDefault="008F4339">
      <w:pPr>
        <w:pStyle w:val="TOC2"/>
        <w:tabs>
          <w:tab w:val="right" w:leader="dot" w:pos="8494"/>
        </w:tabs>
        <w:rPr>
          <w:rFonts w:ascii="彩虹粗仿宋" w:eastAsia="彩虹粗仿宋" w:hAnsi="宋体"/>
          <w:noProof/>
          <w:sz w:val="28"/>
        </w:rPr>
      </w:pPr>
      <w:hyperlink w:anchor="_Toc124325892" w:history="1">
        <w:r w:rsidR="00083262">
          <w:rPr>
            <w:rStyle w:val="af2"/>
            <w:rFonts w:ascii="彩虹粗仿宋" w:eastAsia="彩虹粗仿宋" w:hAnsi="宋体" w:hint="eastAsia"/>
            <w:noProof/>
            <w:sz w:val="28"/>
            <w:szCs w:val="32"/>
          </w:rPr>
          <w:t>八、基金资产净值计算和会计核算</w:t>
        </w:r>
        <w:r w:rsidR="00083262">
          <w:rPr>
            <w:rFonts w:ascii="彩虹粗仿宋" w:eastAsia="彩虹粗仿宋" w:hAnsi="宋体" w:hint="eastAsia"/>
            <w:noProof/>
            <w:sz w:val="28"/>
          </w:rPr>
          <w:tab/>
          <w:t>15</w:t>
        </w:r>
      </w:hyperlink>
    </w:p>
    <w:p w14:paraId="30699AC9" w14:textId="6D956C2E" w:rsidR="004763B4" w:rsidRDefault="008F4339">
      <w:pPr>
        <w:pStyle w:val="TOC2"/>
        <w:tabs>
          <w:tab w:val="right" w:leader="dot" w:pos="8494"/>
        </w:tabs>
        <w:rPr>
          <w:rFonts w:ascii="彩虹粗仿宋" w:eastAsia="彩虹粗仿宋" w:hAnsi="宋体"/>
          <w:noProof/>
          <w:sz w:val="28"/>
        </w:rPr>
      </w:pPr>
      <w:hyperlink w:anchor="_Toc124325893" w:history="1">
        <w:r w:rsidR="00083262">
          <w:rPr>
            <w:rStyle w:val="af2"/>
            <w:rFonts w:ascii="彩虹粗仿宋" w:eastAsia="彩虹粗仿宋" w:hAnsi="宋体" w:hint="eastAsia"/>
            <w:noProof/>
            <w:sz w:val="28"/>
            <w:szCs w:val="32"/>
          </w:rPr>
          <w:t>九、基金收益分配</w:t>
        </w:r>
        <w:r w:rsidR="00083262">
          <w:rPr>
            <w:rFonts w:ascii="彩虹粗仿宋" w:eastAsia="彩虹粗仿宋" w:hAnsi="宋体" w:hint="eastAsia"/>
            <w:noProof/>
            <w:sz w:val="28"/>
          </w:rPr>
          <w:tab/>
          <w:t>19</w:t>
        </w:r>
      </w:hyperlink>
    </w:p>
    <w:p w14:paraId="5E63D3B4" w14:textId="18641095" w:rsidR="004763B4" w:rsidRDefault="008F4339">
      <w:pPr>
        <w:pStyle w:val="TOC2"/>
        <w:tabs>
          <w:tab w:val="right" w:leader="dot" w:pos="8494"/>
        </w:tabs>
        <w:rPr>
          <w:rFonts w:ascii="彩虹粗仿宋" w:eastAsia="彩虹粗仿宋" w:hAnsi="宋体"/>
          <w:noProof/>
          <w:sz w:val="28"/>
        </w:rPr>
      </w:pPr>
      <w:hyperlink w:anchor="_Toc124325894" w:history="1">
        <w:r w:rsidR="00083262">
          <w:rPr>
            <w:rStyle w:val="af2"/>
            <w:rFonts w:ascii="彩虹粗仿宋" w:eastAsia="彩虹粗仿宋" w:hAnsi="宋体" w:hint="eastAsia"/>
            <w:noProof/>
            <w:sz w:val="28"/>
            <w:szCs w:val="32"/>
          </w:rPr>
          <w:t>十、基金信息披露</w:t>
        </w:r>
        <w:r w:rsidR="00083262">
          <w:rPr>
            <w:rFonts w:ascii="彩虹粗仿宋" w:eastAsia="彩虹粗仿宋" w:hAnsi="宋体" w:hint="eastAsia"/>
            <w:noProof/>
            <w:sz w:val="28"/>
          </w:rPr>
          <w:tab/>
          <w:t>19</w:t>
        </w:r>
      </w:hyperlink>
    </w:p>
    <w:p w14:paraId="36BD938E" w14:textId="51DCDEF2" w:rsidR="004763B4" w:rsidRDefault="00E13015">
      <w:pPr>
        <w:pStyle w:val="TOC2"/>
        <w:tabs>
          <w:tab w:val="right" w:leader="dot" w:pos="8494"/>
        </w:tabs>
        <w:rPr>
          <w:rFonts w:ascii="彩虹粗仿宋" w:eastAsia="彩虹粗仿宋" w:hAnsi="宋体"/>
          <w:noProof/>
          <w:sz w:val="28"/>
        </w:rPr>
      </w:pPr>
      <w:hyperlink w:anchor="_Toc124325895" w:history="1">
        <w:r w:rsidR="00083262">
          <w:rPr>
            <w:rStyle w:val="af2"/>
            <w:rFonts w:ascii="彩虹粗仿宋" w:eastAsia="彩虹粗仿宋" w:hAnsi="宋体" w:hint="eastAsia"/>
            <w:noProof/>
            <w:sz w:val="28"/>
            <w:szCs w:val="32"/>
          </w:rPr>
          <w:t>十一、基金费用</w:t>
        </w:r>
        <w:r w:rsidR="00083262">
          <w:rPr>
            <w:rFonts w:ascii="彩虹粗仿宋" w:eastAsia="彩虹粗仿宋" w:hAnsi="宋体" w:hint="eastAsia"/>
            <w:noProof/>
            <w:sz w:val="28"/>
          </w:rPr>
          <w:tab/>
          <w:t>20</w:t>
        </w:r>
      </w:hyperlink>
    </w:p>
    <w:p w14:paraId="21D28F65" w14:textId="2161DA4F" w:rsidR="004763B4" w:rsidRDefault="00E13015">
      <w:pPr>
        <w:pStyle w:val="TOC2"/>
        <w:tabs>
          <w:tab w:val="right" w:leader="dot" w:pos="8494"/>
        </w:tabs>
        <w:rPr>
          <w:rFonts w:ascii="彩虹粗仿宋" w:eastAsia="彩虹粗仿宋" w:hAnsi="宋体"/>
          <w:noProof/>
          <w:sz w:val="28"/>
        </w:rPr>
      </w:pPr>
      <w:hyperlink w:anchor="_Toc124325896" w:history="1">
        <w:r w:rsidR="00083262">
          <w:rPr>
            <w:rStyle w:val="af2"/>
            <w:rFonts w:ascii="彩虹粗仿宋" w:eastAsia="彩虹粗仿宋" w:hAnsi="宋体" w:hint="eastAsia"/>
            <w:noProof/>
            <w:sz w:val="28"/>
            <w:szCs w:val="32"/>
          </w:rPr>
          <w:t>十二、基金份额持有人名册的保管</w:t>
        </w:r>
        <w:r w:rsidR="00083262">
          <w:rPr>
            <w:rFonts w:ascii="彩虹粗仿宋" w:eastAsia="彩虹粗仿宋" w:hAnsi="宋体" w:hint="eastAsia"/>
            <w:noProof/>
            <w:sz w:val="28"/>
          </w:rPr>
          <w:tab/>
          <w:t>22</w:t>
        </w:r>
      </w:hyperlink>
    </w:p>
    <w:p w14:paraId="25D3E33E" w14:textId="4200CDDC" w:rsidR="004763B4" w:rsidRDefault="00E13015">
      <w:pPr>
        <w:pStyle w:val="TOC2"/>
        <w:tabs>
          <w:tab w:val="right" w:leader="dot" w:pos="8494"/>
        </w:tabs>
        <w:rPr>
          <w:rFonts w:ascii="彩虹粗仿宋" w:eastAsia="彩虹粗仿宋" w:hAnsi="宋体"/>
          <w:noProof/>
          <w:sz w:val="28"/>
        </w:rPr>
      </w:pPr>
      <w:hyperlink w:anchor="_Toc124325897" w:history="1">
        <w:r w:rsidR="00083262">
          <w:rPr>
            <w:rStyle w:val="af2"/>
            <w:rFonts w:ascii="彩虹粗仿宋" w:eastAsia="彩虹粗仿宋" w:hAnsi="宋体" w:hint="eastAsia"/>
            <w:noProof/>
            <w:sz w:val="28"/>
            <w:szCs w:val="32"/>
          </w:rPr>
          <w:t>十三、基金有关文件档案的保存</w:t>
        </w:r>
        <w:r w:rsidR="00083262">
          <w:rPr>
            <w:rFonts w:ascii="彩虹粗仿宋" w:eastAsia="彩虹粗仿宋" w:hAnsi="宋体" w:hint="eastAsia"/>
            <w:noProof/>
            <w:sz w:val="28"/>
          </w:rPr>
          <w:tab/>
          <w:t>22</w:t>
        </w:r>
      </w:hyperlink>
    </w:p>
    <w:p w14:paraId="4CC19B49" w14:textId="33E63D80" w:rsidR="004763B4" w:rsidRDefault="00E13015">
      <w:pPr>
        <w:pStyle w:val="TOC2"/>
        <w:tabs>
          <w:tab w:val="right" w:leader="dot" w:pos="8494"/>
        </w:tabs>
        <w:rPr>
          <w:rFonts w:ascii="彩虹粗仿宋" w:eastAsia="彩虹粗仿宋" w:hAnsi="宋体"/>
          <w:noProof/>
          <w:sz w:val="28"/>
        </w:rPr>
      </w:pPr>
      <w:hyperlink w:anchor="_Toc124325898" w:history="1">
        <w:r w:rsidR="00083262">
          <w:rPr>
            <w:rStyle w:val="af2"/>
            <w:rFonts w:ascii="彩虹粗仿宋" w:eastAsia="彩虹粗仿宋" w:hAnsi="宋体" w:hint="eastAsia"/>
            <w:noProof/>
            <w:sz w:val="28"/>
            <w:szCs w:val="32"/>
          </w:rPr>
          <w:t>十四、基金管理人和基金托管人的更换</w:t>
        </w:r>
        <w:r w:rsidR="00083262">
          <w:rPr>
            <w:rFonts w:ascii="彩虹粗仿宋" w:eastAsia="彩虹粗仿宋" w:hAnsi="宋体" w:hint="eastAsia"/>
            <w:noProof/>
            <w:sz w:val="28"/>
          </w:rPr>
          <w:tab/>
          <w:t>22</w:t>
        </w:r>
      </w:hyperlink>
    </w:p>
    <w:p w14:paraId="3A6F3096" w14:textId="22D22368" w:rsidR="004763B4" w:rsidRDefault="00E13015">
      <w:pPr>
        <w:pStyle w:val="TOC2"/>
        <w:tabs>
          <w:tab w:val="right" w:leader="dot" w:pos="8494"/>
        </w:tabs>
        <w:rPr>
          <w:rFonts w:ascii="彩虹粗仿宋" w:eastAsia="彩虹粗仿宋" w:hAnsi="宋体"/>
          <w:noProof/>
          <w:sz w:val="28"/>
        </w:rPr>
      </w:pPr>
      <w:hyperlink w:anchor="_Toc124325899" w:history="1">
        <w:r w:rsidR="00083262">
          <w:rPr>
            <w:rStyle w:val="af2"/>
            <w:rFonts w:ascii="彩虹粗仿宋" w:eastAsia="彩虹粗仿宋" w:hAnsi="宋体" w:hint="eastAsia"/>
            <w:noProof/>
            <w:sz w:val="28"/>
            <w:szCs w:val="32"/>
          </w:rPr>
          <w:t>十五、禁止行为</w:t>
        </w:r>
        <w:r w:rsidR="00083262">
          <w:rPr>
            <w:rFonts w:ascii="彩虹粗仿宋" w:eastAsia="彩虹粗仿宋" w:hAnsi="宋体" w:hint="eastAsia"/>
            <w:noProof/>
            <w:sz w:val="28"/>
          </w:rPr>
          <w:tab/>
          <w:t>24</w:t>
        </w:r>
      </w:hyperlink>
    </w:p>
    <w:p w14:paraId="56A7C800" w14:textId="72A50054" w:rsidR="004763B4" w:rsidRDefault="00E13015">
      <w:pPr>
        <w:pStyle w:val="TOC2"/>
        <w:tabs>
          <w:tab w:val="right" w:leader="dot" w:pos="8494"/>
        </w:tabs>
        <w:rPr>
          <w:rFonts w:ascii="彩虹粗仿宋" w:eastAsia="彩虹粗仿宋" w:hAnsi="宋体"/>
          <w:noProof/>
          <w:sz w:val="28"/>
        </w:rPr>
      </w:pPr>
      <w:hyperlink w:anchor="_Toc124325900" w:history="1">
        <w:r w:rsidR="00083262">
          <w:rPr>
            <w:rStyle w:val="af2"/>
            <w:rFonts w:ascii="彩虹粗仿宋" w:eastAsia="彩虹粗仿宋" w:hAnsi="宋体" w:hint="eastAsia"/>
            <w:noProof/>
            <w:sz w:val="28"/>
            <w:szCs w:val="32"/>
          </w:rPr>
          <w:t>十六、托管协议的变更、终止与基金财产的清算</w:t>
        </w:r>
        <w:r w:rsidR="00083262">
          <w:rPr>
            <w:rFonts w:ascii="彩虹粗仿宋" w:eastAsia="彩虹粗仿宋" w:hAnsi="宋体" w:hint="eastAsia"/>
            <w:noProof/>
            <w:sz w:val="28"/>
          </w:rPr>
          <w:tab/>
          <w:t>25</w:t>
        </w:r>
      </w:hyperlink>
    </w:p>
    <w:p w14:paraId="7DB09C36" w14:textId="3F0A9585" w:rsidR="004763B4" w:rsidRDefault="00E13015">
      <w:pPr>
        <w:pStyle w:val="TOC2"/>
        <w:tabs>
          <w:tab w:val="right" w:leader="dot" w:pos="8494"/>
        </w:tabs>
        <w:rPr>
          <w:rFonts w:ascii="彩虹粗仿宋" w:eastAsia="彩虹粗仿宋" w:hAnsi="宋体"/>
          <w:noProof/>
          <w:sz w:val="28"/>
        </w:rPr>
      </w:pPr>
      <w:hyperlink w:anchor="_Toc124325901" w:history="1">
        <w:r w:rsidR="00083262">
          <w:rPr>
            <w:rStyle w:val="af2"/>
            <w:rFonts w:ascii="彩虹粗仿宋" w:eastAsia="彩虹粗仿宋" w:hAnsi="宋体" w:hint="eastAsia"/>
            <w:noProof/>
            <w:sz w:val="28"/>
            <w:szCs w:val="32"/>
          </w:rPr>
          <w:t>十七、违约责任</w:t>
        </w:r>
        <w:r w:rsidR="00083262">
          <w:rPr>
            <w:rFonts w:ascii="彩虹粗仿宋" w:eastAsia="彩虹粗仿宋" w:hAnsi="宋体" w:hint="eastAsia"/>
            <w:noProof/>
            <w:sz w:val="28"/>
          </w:rPr>
          <w:tab/>
          <w:t>26</w:t>
        </w:r>
      </w:hyperlink>
    </w:p>
    <w:p w14:paraId="7B65B940" w14:textId="1416E4AA" w:rsidR="004763B4" w:rsidRDefault="00E13015">
      <w:pPr>
        <w:pStyle w:val="TOC2"/>
        <w:tabs>
          <w:tab w:val="right" w:leader="dot" w:pos="8494"/>
        </w:tabs>
        <w:rPr>
          <w:rFonts w:ascii="彩虹粗仿宋" w:eastAsia="彩虹粗仿宋" w:hAnsi="宋体"/>
          <w:noProof/>
          <w:sz w:val="28"/>
        </w:rPr>
      </w:pPr>
      <w:hyperlink w:anchor="_Toc124325902" w:history="1">
        <w:r w:rsidR="00083262">
          <w:rPr>
            <w:rStyle w:val="af2"/>
            <w:rFonts w:ascii="彩虹粗仿宋" w:eastAsia="彩虹粗仿宋" w:hAnsi="宋体" w:hint="eastAsia"/>
            <w:noProof/>
            <w:sz w:val="28"/>
            <w:szCs w:val="32"/>
          </w:rPr>
          <w:t>十八、争议解决方式</w:t>
        </w:r>
        <w:r w:rsidR="00083262">
          <w:rPr>
            <w:rFonts w:ascii="彩虹粗仿宋" w:eastAsia="彩虹粗仿宋" w:hAnsi="宋体" w:hint="eastAsia"/>
            <w:noProof/>
            <w:sz w:val="28"/>
          </w:rPr>
          <w:tab/>
          <w:t>26</w:t>
        </w:r>
      </w:hyperlink>
    </w:p>
    <w:p w14:paraId="0880D359" w14:textId="4D4EFCF6" w:rsidR="004763B4" w:rsidRDefault="00E13015">
      <w:pPr>
        <w:pStyle w:val="TOC2"/>
        <w:tabs>
          <w:tab w:val="right" w:leader="dot" w:pos="8494"/>
        </w:tabs>
        <w:rPr>
          <w:rFonts w:ascii="彩虹粗仿宋" w:eastAsia="彩虹粗仿宋" w:hAnsi="宋体"/>
          <w:noProof/>
          <w:sz w:val="28"/>
        </w:rPr>
      </w:pPr>
      <w:hyperlink w:anchor="_Toc124325903" w:history="1">
        <w:r w:rsidR="00083262">
          <w:rPr>
            <w:rStyle w:val="af2"/>
            <w:rFonts w:ascii="彩虹粗仿宋" w:eastAsia="彩虹粗仿宋" w:hAnsi="宋体" w:hint="eastAsia"/>
            <w:noProof/>
            <w:sz w:val="28"/>
            <w:szCs w:val="32"/>
          </w:rPr>
          <w:t>十九、托管协议的效力</w:t>
        </w:r>
        <w:r w:rsidR="00083262">
          <w:rPr>
            <w:rFonts w:ascii="彩虹粗仿宋" w:eastAsia="彩虹粗仿宋" w:hAnsi="宋体" w:hint="eastAsia"/>
            <w:noProof/>
            <w:sz w:val="28"/>
          </w:rPr>
          <w:tab/>
          <w:t>27</w:t>
        </w:r>
      </w:hyperlink>
    </w:p>
    <w:p w14:paraId="5138C3FD" w14:textId="6A4B53D7" w:rsidR="004763B4" w:rsidRDefault="00E13015">
      <w:pPr>
        <w:pStyle w:val="TOC2"/>
        <w:tabs>
          <w:tab w:val="right" w:leader="dot" w:pos="8494"/>
        </w:tabs>
        <w:rPr>
          <w:rFonts w:ascii="彩虹粗仿宋" w:eastAsia="彩虹粗仿宋" w:hAnsi="宋体"/>
          <w:noProof/>
          <w:sz w:val="28"/>
        </w:rPr>
      </w:pPr>
      <w:hyperlink w:anchor="_Toc124325904" w:history="1">
        <w:r w:rsidR="00083262">
          <w:rPr>
            <w:rStyle w:val="af2"/>
            <w:rFonts w:ascii="彩虹粗仿宋" w:eastAsia="彩虹粗仿宋" w:hAnsi="宋体" w:hint="eastAsia"/>
            <w:noProof/>
            <w:sz w:val="28"/>
            <w:szCs w:val="32"/>
          </w:rPr>
          <w:t>二十、其他事项</w:t>
        </w:r>
        <w:r w:rsidR="00083262">
          <w:rPr>
            <w:rFonts w:ascii="彩虹粗仿宋" w:eastAsia="彩虹粗仿宋" w:hAnsi="宋体" w:hint="eastAsia"/>
            <w:noProof/>
            <w:sz w:val="28"/>
          </w:rPr>
          <w:tab/>
          <w:t>27</w:t>
        </w:r>
      </w:hyperlink>
    </w:p>
    <w:p w14:paraId="09C3A5C4" w14:textId="66DC3D37" w:rsidR="004763B4" w:rsidRDefault="00E13015">
      <w:pPr>
        <w:pStyle w:val="TOC2"/>
        <w:tabs>
          <w:tab w:val="right" w:leader="dot" w:pos="8494"/>
        </w:tabs>
        <w:rPr>
          <w:rFonts w:ascii="彩虹粗仿宋" w:eastAsia="彩虹粗仿宋" w:hAnsi="宋体"/>
          <w:noProof/>
          <w:sz w:val="28"/>
        </w:rPr>
      </w:pPr>
      <w:hyperlink w:anchor="_Toc124325905" w:history="1">
        <w:r w:rsidR="00083262">
          <w:rPr>
            <w:rStyle w:val="af2"/>
            <w:rFonts w:ascii="彩虹粗仿宋" w:eastAsia="彩虹粗仿宋" w:hAnsi="宋体" w:hint="eastAsia"/>
            <w:noProof/>
            <w:sz w:val="28"/>
            <w:szCs w:val="32"/>
          </w:rPr>
          <w:t>二十一、托管协议的签订</w:t>
        </w:r>
        <w:r w:rsidR="00083262">
          <w:rPr>
            <w:rFonts w:ascii="彩虹粗仿宋" w:eastAsia="彩虹粗仿宋" w:hAnsi="宋体" w:hint="eastAsia"/>
            <w:noProof/>
            <w:sz w:val="28"/>
          </w:rPr>
          <w:tab/>
          <w:t>27</w:t>
        </w:r>
      </w:hyperlink>
    </w:p>
    <w:p w14:paraId="31BB166A" w14:textId="77777777" w:rsidR="004763B4" w:rsidRDefault="002D50E4">
      <w:pPr>
        <w:widowControl/>
        <w:adjustRightInd w:val="0"/>
        <w:snapToGrid w:val="0"/>
        <w:ind w:firstLineChars="200" w:firstLine="560"/>
        <w:rPr>
          <w:rFonts w:ascii="彩虹粗仿宋" w:eastAsia="彩虹粗仿宋" w:hAnsi="宋体" w:cs="Arial"/>
          <w:kern w:val="0"/>
          <w:sz w:val="24"/>
        </w:rPr>
      </w:pPr>
      <w:r>
        <w:rPr>
          <w:rFonts w:ascii="彩虹粗仿宋" w:eastAsia="彩虹粗仿宋" w:hAnsi="宋体" w:hint="eastAsia"/>
          <w:sz w:val="28"/>
        </w:rPr>
        <w:lastRenderedPageBreak/>
        <w:fldChar w:fldCharType="end"/>
      </w:r>
      <w:r w:rsidR="00083262">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w:t>
      </w:r>
    </w:p>
    <w:p w14:paraId="71579B8C" w14:textId="77777777" w:rsidR="004763B4" w:rsidRDefault="000832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8F74F28" w14:textId="77777777" w:rsidR="004763B4" w:rsidRDefault="000832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鉴于华泰柏瑞基金管理有限公司拟担任华泰柏瑞上证</w:t>
      </w:r>
      <w:proofErr w:type="gramStart"/>
      <w:r>
        <w:rPr>
          <w:rFonts w:ascii="彩虹粗仿宋" w:eastAsia="彩虹粗仿宋" w:hAnsi="宋体" w:cs="Arial" w:hint="eastAsia"/>
          <w:kern w:val="0"/>
          <w:sz w:val="24"/>
        </w:rPr>
        <w:t>科创板</w:t>
      </w:r>
      <w:proofErr w:type="gramEnd"/>
      <w:r>
        <w:rPr>
          <w:rFonts w:ascii="彩虹粗仿宋" w:eastAsia="彩虹粗仿宋" w:hAnsi="宋体" w:cs="Arial" w:hint="eastAsia"/>
          <w:kern w:val="0"/>
          <w:sz w:val="24"/>
        </w:rPr>
        <w:t>50成份交易型开放式指数证券投资基金联接基金的基金管理人，中国建设银行股份有限公司拟担任</w:t>
      </w:r>
      <w:r>
        <w:rPr>
          <w:rFonts w:ascii="彩虹粗仿宋" w:eastAsia="彩虹粗仿宋" w:hAnsi="宋体" w:cs="Arial" w:hint="eastAsia"/>
          <w:sz w:val="24"/>
        </w:rPr>
        <w:t>华泰柏瑞上证</w:t>
      </w:r>
      <w:proofErr w:type="gramStart"/>
      <w:r>
        <w:rPr>
          <w:rFonts w:ascii="彩虹粗仿宋" w:eastAsia="彩虹粗仿宋" w:hAnsi="宋体" w:cs="Arial" w:hint="eastAsia"/>
          <w:sz w:val="24"/>
        </w:rPr>
        <w:t>科创板</w:t>
      </w:r>
      <w:proofErr w:type="gramEnd"/>
      <w:r>
        <w:rPr>
          <w:rFonts w:ascii="彩虹粗仿宋" w:eastAsia="彩虹粗仿宋" w:hAnsi="宋体" w:cs="Arial" w:hint="eastAsia"/>
          <w:sz w:val="24"/>
        </w:rPr>
        <w:t>50成份交易型开放式指数证券投资基金联接基金</w:t>
      </w:r>
      <w:r>
        <w:rPr>
          <w:rFonts w:ascii="彩虹粗仿宋" w:eastAsia="彩虹粗仿宋" w:hAnsi="宋体" w:cs="Arial" w:hint="eastAsia"/>
          <w:kern w:val="0"/>
          <w:sz w:val="24"/>
        </w:rPr>
        <w:t>的基金托管人；</w:t>
      </w:r>
    </w:p>
    <w:p w14:paraId="52A490C4" w14:textId="77777777" w:rsidR="004763B4" w:rsidRDefault="000832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华泰柏瑞上证</w:t>
      </w:r>
      <w:proofErr w:type="gramStart"/>
      <w:r>
        <w:rPr>
          <w:rFonts w:ascii="彩虹粗仿宋" w:eastAsia="彩虹粗仿宋" w:hAnsi="宋体" w:cs="Arial" w:hint="eastAsia"/>
          <w:sz w:val="24"/>
        </w:rPr>
        <w:t>科创板</w:t>
      </w:r>
      <w:proofErr w:type="gramEnd"/>
      <w:r>
        <w:rPr>
          <w:rFonts w:ascii="彩虹粗仿宋" w:eastAsia="彩虹粗仿宋" w:hAnsi="宋体" w:cs="Arial" w:hint="eastAsia"/>
          <w:sz w:val="24"/>
        </w:rPr>
        <w:t>50成份交易型开放式指数证券投资基金联接基金</w:t>
      </w:r>
      <w:r>
        <w:rPr>
          <w:rFonts w:ascii="彩虹粗仿宋" w:eastAsia="彩虹粗仿宋" w:hAnsi="宋体" w:cs="Arial" w:hint="eastAsia"/>
          <w:kern w:val="0"/>
          <w:sz w:val="24"/>
        </w:rPr>
        <w:t>的基金管理人和基金托管人之间的权利义务关系，特制订本托管协议；</w:t>
      </w:r>
    </w:p>
    <w:p w14:paraId="0E5283E0" w14:textId="77777777" w:rsidR="004763B4" w:rsidRDefault="00083262">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除非另有约定，《华泰柏瑞上证科创板50成份交易型开放式指数证券投资基金联接基金基金合同》(以下简称“基金合同”)中定义的术语在用于本托管协议时应具有相同的含义；若有抵触应以《基金合同》为准，并依其条款解释。</w:t>
      </w:r>
    </w:p>
    <w:p w14:paraId="0E99E598" w14:textId="77777777" w:rsidR="004763B4" w:rsidRDefault="004763B4">
      <w:pPr>
        <w:rPr>
          <w:rFonts w:ascii="彩虹粗仿宋" w:eastAsia="彩虹粗仿宋" w:hAnsi="宋体" w:cs="Arial"/>
          <w:kern w:val="0"/>
          <w:sz w:val="24"/>
        </w:rPr>
      </w:pPr>
    </w:p>
    <w:p w14:paraId="4109BB0E" w14:textId="77777777" w:rsidR="004763B4" w:rsidRDefault="00083262">
      <w:pPr>
        <w:pStyle w:val="2"/>
        <w:jc w:val="center"/>
        <w:rPr>
          <w:rFonts w:ascii="彩虹粗仿宋" w:eastAsia="彩虹粗仿宋"/>
        </w:rPr>
      </w:pPr>
      <w:bookmarkStart w:id="0" w:name="_Toc124325885"/>
      <w:r>
        <w:rPr>
          <w:rFonts w:ascii="彩虹粗仿宋" w:eastAsia="彩虹粗仿宋" w:hint="eastAsia"/>
        </w:rPr>
        <w:t>一、基金托管协议当事人</w:t>
      </w:r>
      <w:bookmarkEnd w:id="0"/>
    </w:p>
    <w:p w14:paraId="2D59E2D3"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14:paraId="6C5F913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14:paraId="2952DFA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注册地址：中国（上海）自由贸易试验区民生路1199弄上海证大五道口广场1号17层</w:t>
      </w:r>
    </w:p>
    <w:p w14:paraId="6B5A8FB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办公地址：中国（上海）自由贸易试验区民生路1199弄上海证大五道口广场1号17层</w:t>
      </w:r>
    </w:p>
    <w:p w14:paraId="0C49147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14:paraId="6AA3B62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14:paraId="2590FA7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sz w:val="24"/>
        </w:rPr>
        <w:t>年11月18日</w:t>
      </w:r>
    </w:p>
    <w:p w14:paraId="45E4CB4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w:t>
      </w:r>
      <w:proofErr w:type="gramStart"/>
      <w:r>
        <w:rPr>
          <w:rFonts w:ascii="彩虹粗仿宋" w:eastAsia="彩虹粗仿宋" w:hAnsi="宋体" w:cs="Arial" w:hint="eastAsia"/>
          <w:sz w:val="24"/>
        </w:rPr>
        <w:t>监基金字</w:t>
      </w:r>
      <w:proofErr w:type="gramEnd"/>
      <w:r>
        <w:rPr>
          <w:rStyle w:val="read"/>
          <w:rFonts w:ascii="彩虹粗仿宋" w:eastAsia="彩虹粗仿宋" w:hAnsi="宋体" w:cs="Arial" w:hint="eastAsia"/>
          <w:sz w:val="24"/>
        </w:rPr>
        <w:t>[2004]178</w:t>
      </w:r>
      <w:r>
        <w:rPr>
          <w:rFonts w:ascii="彩虹粗仿宋" w:eastAsia="彩虹粗仿宋" w:hAnsi="宋体" w:cs="Arial" w:hint="eastAsia"/>
          <w:sz w:val="24"/>
        </w:rPr>
        <w:t>号</w:t>
      </w:r>
    </w:p>
    <w:p w14:paraId="7557DAF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14:paraId="4677B34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注册资本：人民币贰亿元</w:t>
      </w:r>
    </w:p>
    <w:p w14:paraId="7924C51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2AAD71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14:paraId="3F0A09AF"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14:paraId="7F225C3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6439459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住所：北京市西城区金融大街25号</w:t>
      </w:r>
    </w:p>
    <w:p w14:paraId="042F529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6809FE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F8274F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3ACD4B9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70D8E9D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 w:name="OLE_LINK3"/>
      <w:r>
        <w:rPr>
          <w:rFonts w:ascii="彩虹粗仿宋" w:eastAsia="彩虹粗仿宋" w:hAnsi="宋体" w:cs="Arial" w:hint="eastAsia"/>
          <w:sz w:val="24"/>
        </w:rPr>
        <w:t>]</w:t>
      </w:r>
      <w:bookmarkEnd w:id="1"/>
      <w:r>
        <w:rPr>
          <w:rFonts w:ascii="彩虹粗仿宋" w:eastAsia="彩虹粗仿宋" w:hAnsi="宋体" w:cs="Arial" w:hint="eastAsia"/>
          <w:sz w:val="24"/>
        </w:rPr>
        <w:t>12号</w:t>
      </w:r>
    </w:p>
    <w:p w14:paraId="4C8FDA1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45AE56E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14:paraId="4C49D99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482DCD6D" w14:textId="77777777" w:rsidR="004763B4" w:rsidRDefault="00083262">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02E9854" w14:textId="77777777" w:rsidR="004763B4" w:rsidRDefault="004763B4">
      <w:pPr>
        <w:rPr>
          <w:rFonts w:ascii="彩虹粗仿宋" w:eastAsia="彩虹粗仿宋"/>
          <w:sz w:val="24"/>
        </w:rPr>
      </w:pPr>
    </w:p>
    <w:p w14:paraId="36969E2A" w14:textId="77777777" w:rsidR="004763B4" w:rsidRDefault="00083262">
      <w:pPr>
        <w:pStyle w:val="2"/>
        <w:jc w:val="center"/>
        <w:rPr>
          <w:rFonts w:ascii="彩虹粗仿宋" w:eastAsia="彩虹粗仿宋"/>
          <w:sz w:val="30"/>
        </w:rPr>
      </w:pPr>
      <w:bookmarkStart w:id="2" w:name="_Toc124325886"/>
      <w:r>
        <w:rPr>
          <w:rFonts w:ascii="彩虹粗仿宋" w:eastAsia="彩虹粗仿宋" w:hint="eastAsia"/>
          <w:sz w:val="30"/>
        </w:rPr>
        <w:t>二、基金托管协议的依据、目的和原则</w:t>
      </w:r>
      <w:bookmarkEnd w:id="2"/>
    </w:p>
    <w:p w14:paraId="4B3E8E52" w14:textId="77777777" w:rsidR="004763B4" w:rsidRDefault="00083262">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9E6AA3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11C01C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0A7DF3D0" w14:textId="77777777" w:rsidR="004763B4" w:rsidRDefault="00083262">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CFF19F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194542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26C3454" w14:textId="77777777" w:rsidR="004763B4" w:rsidRDefault="004763B4">
      <w:pPr>
        <w:rPr>
          <w:rFonts w:ascii="彩虹粗仿宋" w:eastAsia="彩虹粗仿宋"/>
          <w:sz w:val="24"/>
        </w:rPr>
      </w:pPr>
    </w:p>
    <w:p w14:paraId="7C205926" w14:textId="77777777" w:rsidR="004763B4" w:rsidRDefault="00083262">
      <w:pPr>
        <w:pStyle w:val="2"/>
        <w:jc w:val="center"/>
        <w:rPr>
          <w:rFonts w:ascii="彩虹粗仿宋" w:eastAsia="彩虹粗仿宋"/>
          <w:sz w:val="30"/>
          <w:szCs w:val="24"/>
        </w:rPr>
      </w:pPr>
      <w:bookmarkStart w:id="3" w:name="_Toc124325887"/>
      <w:r>
        <w:rPr>
          <w:rFonts w:ascii="彩虹粗仿宋" w:eastAsia="彩虹粗仿宋" w:hint="eastAsia"/>
          <w:sz w:val="30"/>
        </w:rPr>
        <w:t>三、基金托管人对基金管理人的业务监督和核查</w:t>
      </w:r>
      <w:bookmarkEnd w:id="3"/>
    </w:p>
    <w:p w14:paraId="0008FBF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w:t>
      </w:r>
      <w:r>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3B6AC8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资产投资于具有良好流动性的金融工具，包括目标ETF、标的指数成份股及备选成份股、非成份股、存托凭证、债券（包括国债、地方政府债、金融债、企业债、公司债、公开发行的次级债、可转换债券（含分离交易可转债）、可交换债券、央行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、超短期融资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、中期票据）、资产支持证券、债券回购、银行存款、货币市场工具、</w:t>
      </w:r>
      <w:r>
        <w:rPr>
          <w:rFonts w:ascii="彩虹粗仿宋" w:eastAsia="彩虹粗仿宋" w:hAnsi="宋体" w:cs="Arial"/>
          <w:sz w:val="24"/>
        </w:rPr>
        <w:t>股指期货</w:t>
      </w:r>
      <w:r>
        <w:rPr>
          <w:rFonts w:ascii="彩虹粗仿宋" w:eastAsia="彩虹粗仿宋" w:hAnsi="宋体" w:cs="Arial" w:hint="eastAsia"/>
          <w:sz w:val="24"/>
        </w:rPr>
        <w:t>、股票期权、国债期货以及中国证监会允许基金投资的其他金融工具（但须符合中国证监会的相关规定）。</w:t>
      </w:r>
    </w:p>
    <w:p w14:paraId="4204F48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本基金将根据法律法规的规定参与融资及转融通证券出借业务。</w:t>
      </w:r>
    </w:p>
    <w:p w14:paraId="5324FB7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如法律法规或监管机构以后允许基金投资其他品种，基金管理人在履行适当程序后，可以将其纳入投资范围。</w:t>
      </w:r>
    </w:p>
    <w:p w14:paraId="4CCFCEB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本基金资产中投资于目标ETF的比例不低于基金资产净值的90%；每个交易日日终在扣除股指期货、股票期权和国债期货合约需缴纳的交易保证金后，应当保持不低于基金资产净值5％的现金</w:t>
      </w:r>
      <w:r>
        <w:rPr>
          <w:rFonts w:ascii="彩虹粗仿宋" w:eastAsia="彩虹粗仿宋" w:hAnsi="宋体" w:cs="Arial"/>
          <w:sz w:val="24"/>
        </w:rPr>
        <w:t>（不包括结算备付金、存出保证金、应收申购款等）</w:t>
      </w:r>
      <w:r>
        <w:rPr>
          <w:rFonts w:ascii="彩虹粗仿宋" w:eastAsia="彩虹粗仿宋" w:hAnsi="宋体" w:cs="Arial" w:hint="eastAsia"/>
          <w:sz w:val="24"/>
        </w:rPr>
        <w:t>或者到期日在一年以内的政府债券。</w:t>
      </w:r>
    </w:p>
    <w:p w14:paraId="5B39E4B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5708676B" w14:textId="77777777" w:rsidR="004763B4" w:rsidRDefault="00083262">
      <w:pPr>
        <w:adjustRightInd w:val="0"/>
        <w:snapToGrid w:val="0"/>
        <w:ind w:firstLineChars="200" w:firstLine="480"/>
        <w:rPr>
          <w:rFonts w:ascii="彩虹粗仿宋" w:eastAsia="彩虹粗仿宋" w:hAnsi="宋体" w:cs="Arial"/>
          <w:sz w:val="24"/>
        </w:rPr>
      </w:pPr>
      <w:bookmarkStart w:id="4" w:name="_Hlk35012853"/>
      <w:r>
        <w:rPr>
          <w:rFonts w:ascii="彩虹粗仿宋" w:eastAsia="彩虹粗仿宋" w:hAnsi="宋体" w:cs="Arial" w:hint="eastAsia"/>
          <w:sz w:val="24"/>
        </w:rPr>
        <w:t>1.本基金投资于目标ETF的比例不低于基金资产净值的90%；</w:t>
      </w:r>
    </w:p>
    <w:p w14:paraId="7874686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本基金每个交易日日终在扣除股指期货</w:t>
      </w:r>
      <w:r>
        <w:rPr>
          <w:rFonts w:ascii="彩虹粗仿宋" w:eastAsia="彩虹粗仿宋" w:hAnsi="宋体" w:cs="Arial" w:hint="eastAsia"/>
          <w:sz w:val="24"/>
        </w:rPr>
        <w:t>、</w:t>
      </w:r>
      <w:r>
        <w:rPr>
          <w:rFonts w:ascii="彩虹粗仿宋" w:eastAsia="彩虹粗仿宋" w:hAnsi="宋体" w:cs="Arial"/>
          <w:sz w:val="24"/>
        </w:rPr>
        <w:t>国债期货和股票期权合约需缴纳的交易保证金后，</w:t>
      </w:r>
      <w:r>
        <w:rPr>
          <w:rFonts w:ascii="彩虹粗仿宋" w:eastAsia="彩虹粗仿宋" w:hAnsi="宋体" w:cs="Arial" w:hint="eastAsia"/>
          <w:sz w:val="24"/>
        </w:rPr>
        <w:t>应当保持不低于基金资产净值5％的现金</w:t>
      </w:r>
      <w:r>
        <w:rPr>
          <w:rFonts w:ascii="彩虹粗仿宋" w:eastAsia="彩虹粗仿宋" w:hAnsi="宋体" w:cs="Arial"/>
          <w:sz w:val="24"/>
        </w:rPr>
        <w:t>（不包括结算备付金、存出保证金、应收申购款等）</w:t>
      </w:r>
      <w:r>
        <w:rPr>
          <w:rFonts w:ascii="彩虹粗仿宋" w:eastAsia="彩虹粗仿宋" w:hAnsi="宋体" w:cs="Arial" w:hint="eastAsia"/>
          <w:sz w:val="24"/>
        </w:rPr>
        <w:t>或者到期日在一年以内的政府债券</w:t>
      </w:r>
      <w:r>
        <w:rPr>
          <w:rFonts w:ascii="彩虹粗仿宋" w:eastAsia="彩虹粗仿宋" w:hAnsi="宋体" w:cs="Arial"/>
          <w:sz w:val="24"/>
        </w:rPr>
        <w:t>；</w:t>
      </w:r>
    </w:p>
    <w:p w14:paraId="24D562C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本基金投资于同一原始权益人的各类资产支持证券的比例，不得超过基金资产净值的10%；</w:t>
      </w:r>
    </w:p>
    <w:p w14:paraId="293A300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本基金管理人管理的且由本基金托管人托管的全部基金投资于同一原始权益人的各类资产支持证券，不得超过其各类资产支持证券合计规模的10%；</w:t>
      </w:r>
    </w:p>
    <w:p w14:paraId="3850381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本基金持有的全部资产支持证券，其市值不得超过基金资产净值的20%；</w:t>
      </w:r>
    </w:p>
    <w:p w14:paraId="78844D6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本基金</w:t>
      </w:r>
      <w:r>
        <w:rPr>
          <w:rFonts w:ascii="彩虹粗仿宋" w:eastAsia="彩虹粗仿宋" w:hAnsi="宋体" w:cs="Arial" w:hint="eastAsia"/>
          <w:sz w:val="24"/>
        </w:rPr>
        <w:t>持有的同一(指同一信用级别)资产支持证</w:t>
      </w:r>
      <w:r>
        <w:rPr>
          <w:rFonts w:ascii="彩虹粗仿宋" w:eastAsia="彩虹粗仿宋" w:hAnsi="宋体" w:cs="Arial"/>
          <w:sz w:val="24"/>
        </w:rPr>
        <w:t>券的比例，不得超过该资产支持证券规模的10%；</w:t>
      </w:r>
    </w:p>
    <w:p w14:paraId="069B399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Pr>
          <w:rFonts w:ascii="彩虹粗仿宋" w:eastAsia="彩虹粗仿宋" w:hAnsi="宋体" w:cs="Arial"/>
          <w:sz w:val="24"/>
        </w:rPr>
        <w:t>本基金应投资于信用级别评级为BBB以上(含BBB)的资产支持证券。基金持有资产支持证券期间，如果其信用等级下降、不再符合投资标准，应在评级报告发布之日起3个月内予以全部卖出；</w:t>
      </w:r>
    </w:p>
    <w:p w14:paraId="0BFD64B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8.</w:t>
      </w:r>
      <w:r>
        <w:rPr>
          <w:rFonts w:ascii="彩虹粗仿宋" w:eastAsia="彩虹粗仿宋" w:hAnsi="宋体" w:cs="Arial"/>
          <w:sz w:val="24"/>
        </w:rPr>
        <w:t>基金财产参与股票发行申购，本基金所申报的金额不超过本基金的总资产，本基金所申报的股票数量不超过拟发行股票公司本次发行股票的总量；</w:t>
      </w:r>
    </w:p>
    <w:p w14:paraId="130EB5C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本基金进入全国银行间同业市场进行债券回购的资金余额不得超过基金资产净值的40%；</w:t>
      </w:r>
      <w:r>
        <w:rPr>
          <w:rFonts w:ascii="彩虹粗仿宋" w:eastAsia="彩虹粗仿宋" w:hAnsi="宋体" w:cs="Arial" w:hint="eastAsia"/>
          <w:sz w:val="24"/>
        </w:rPr>
        <w:t>债券回购最长期限为1年，债券回购到期后不得展期；</w:t>
      </w:r>
    </w:p>
    <w:p w14:paraId="3660443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本基金在任何交易日日终，持有的买入股指期货合约价值，不得超过基金资产净值的10%；在任何交易日日终，持有的卖出期货合约价值不得超过基金持有的股票总市值的20%；在任何交易日内交易（不包括平仓）的股指期货合约的成交金额不得超过上一交易日基金资产净值的20%；基金所持有的股票市值和买入、卖出股指期货合约价值，合计（轧差计算）应当符合基金合同关于股票投资比例的有关约定；</w:t>
      </w:r>
    </w:p>
    <w:p w14:paraId="262609A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基金在任何交易日日终，持有的买入国债期货合约价值，不得超过基金资产净值的15%；基金在任何交易日日终，持有的卖出国债期货合约价值不得超过基金持有的债券总市值的30%；基金在任何交易日内交易（不包括平仓）的国债期货合约的成交金额不得超过上一交易日基金资产净值的30%；</w:t>
      </w:r>
    </w:p>
    <w:p w14:paraId="1C4C7E4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本基金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14:paraId="3D94DE8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13.</w:t>
      </w:r>
      <w:r>
        <w:rPr>
          <w:rFonts w:ascii="彩虹粗仿宋" w:eastAsia="彩虹粗仿宋" w:hAnsi="宋体" w:cs="Arial" w:hint="eastAsia"/>
          <w:sz w:val="24"/>
        </w:rPr>
        <w:t>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132ABDF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w:t>
      </w:r>
      <w:r>
        <w:rPr>
          <w:rFonts w:ascii="彩虹粗仿宋" w:eastAsia="彩虹粗仿宋" w:hAnsi="宋体" w:cs="Arial"/>
          <w:sz w:val="24"/>
        </w:rPr>
        <w:t>本基金可参与融资业务，在任何交易日日终，本基金持有的融资买入股票与其他有价证券市值之和，不得超过基金资产净值的95%；</w:t>
      </w:r>
    </w:p>
    <w:p w14:paraId="69C7429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.本基金参与转融通证券出借业务，需遵循下述比例限制：</w:t>
      </w:r>
    </w:p>
    <w:p w14:paraId="1C517C3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（1）出借证券资产不得超过基金资产净值的</w:t>
      </w:r>
      <w:r>
        <w:rPr>
          <w:rFonts w:ascii="彩虹粗仿宋" w:eastAsia="彩虹粗仿宋" w:hAnsi="宋体" w:cs="Arial"/>
          <w:sz w:val="24"/>
        </w:rPr>
        <w:t>30%</w:t>
      </w:r>
      <w:r>
        <w:rPr>
          <w:rFonts w:ascii="彩虹粗仿宋" w:eastAsia="彩虹粗仿宋" w:hAnsi="宋体" w:cs="Arial" w:hint="eastAsia"/>
          <w:sz w:val="24"/>
        </w:rPr>
        <w:t>，出借期限在</w:t>
      </w:r>
      <w:r>
        <w:rPr>
          <w:rFonts w:ascii="彩虹粗仿宋" w:eastAsia="彩虹粗仿宋" w:hAnsi="宋体" w:cs="Arial"/>
          <w:sz w:val="24"/>
        </w:rPr>
        <w:t>10</w:t>
      </w:r>
      <w:r>
        <w:rPr>
          <w:rFonts w:ascii="彩虹粗仿宋" w:eastAsia="彩虹粗仿宋" w:hAnsi="宋体" w:cs="Arial" w:hint="eastAsia"/>
          <w:sz w:val="24"/>
        </w:rPr>
        <w:t>个交易日以上的出借证券应纳入《流动性风险管理规定》所述流动性受限证券的范围；</w:t>
      </w:r>
    </w:p>
    <w:p w14:paraId="7D17CF2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（2）参与出借业务的单只证券不得超过基金持有该证券总量的</w:t>
      </w:r>
      <w:r>
        <w:rPr>
          <w:rFonts w:ascii="彩虹粗仿宋" w:eastAsia="彩虹粗仿宋" w:hAnsi="宋体" w:cs="Arial"/>
          <w:sz w:val="24"/>
        </w:rPr>
        <w:t>50%</w:t>
      </w:r>
      <w:r>
        <w:rPr>
          <w:rFonts w:ascii="彩虹粗仿宋" w:eastAsia="彩虹粗仿宋" w:hAnsi="宋体" w:cs="Arial" w:hint="eastAsia"/>
          <w:sz w:val="24"/>
        </w:rPr>
        <w:t>；</w:t>
      </w:r>
    </w:p>
    <w:p w14:paraId="1573F93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（3）最近</w:t>
      </w:r>
      <w:r>
        <w:rPr>
          <w:rFonts w:ascii="彩虹粗仿宋" w:eastAsia="彩虹粗仿宋" w:hAnsi="宋体" w:cs="Arial"/>
          <w:sz w:val="24"/>
        </w:rPr>
        <w:t>6</w:t>
      </w:r>
      <w:r>
        <w:rPr>
          <w:rFonts w:ascii="彩虹粗仿宋" w:eastAsia="彩虹粗仿宋" w:hAnsi="宋体" w:cs="Arial" w:hint="eastAsia"/>
          <w:sz w:val="24"/>
        </w:rPr>
        <w:t>个月内日均基金资产净值不得低于</w:t>
      </w:r>
      <w:r>
        <w:rPr>
          <w:rFonts w:ascii="彩虹粗仿宋" w:eastAsia="彩虹粗仿宋" w:hAnsi="宋体" w:cs="Arial"/>
          <w:sz w:val="24"/>
        </w:rPr>
        <w:t>2</w:t>
      </w:r>
      <w:r>
        <w:rPr>
          <w:rFonts w:ascii="彩虹粗仿宋" w:eastAsia="彩虹粗仿宋" w:hAnsi="宋体" w:cs="Arial" w:hint="eastAsia"/>
          <w:sz w:val="24"/>
        </w:rPr>
        <w:t>亿元；</w:t>
      </w:r>
    </w:p>
    <w:p w14:paraId="1D2BB2C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（4）证券出借的平均剩余期限不得超过30天，平均剩余期限按照市值加权平均计算；</w:t>
      </w:r>
    </w:p>
    <w:p w14:paraId="30765E4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因证券市场波动、上市公司合并、基金规模变动等基金管理人之外的因素致</w:t>
      </w:r>
      <w:r>
        <w:rPr>
          <w:rFonts w:ascii="彩虹粗仿宋" w:eastAsia="彩虹粗仿宋" w:hAnsi="宋体" w:cs="Arial" w:hint="eastAsia"/>
          <w:sz w:val="24"/>
        </w:rPr>
        <w:lastRenderedPageBreak/>
        <w:t>使基金投资不符合上述规定的，基金管理人不得新增出借业务；</w:t>
      </w:r>
    </w:p>
    <w:p w14:paraId="480C79E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16</w:t>
      </w:r>
      <w:r>
        <w:rPr>
          <w:rFonts w:ascii="彩虹粗仿宋" w:eastAsia="彩虹粗仿宋" w:hAnsi="宋体" w:cs="Arial" w:hint="eastAsia"/>
          <w:sz w:val="24"/>
        </w:rPr>
        <w:t>.本基金资产总值不得超过基金资产净值的140%；</w:t>
      </w:r>
    </w:p>
    <w:p w14:paraId="21AE5DA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17</w:t>
      </w:r>
      <w:r>
        <w:rPr>
          <w:rFonts w:ascii="彩虹粗仿宋" w:eastAsia="彩虹粗仿宋" w:hAnsi="宋体" w:cs="Arial" w:hint="eastAsia"/>
          <w:sz w:val="24"/>
        </w:rPr>
        <w:t>.本基金主动投资于流动性受限资产的市值合计不得超过基金资产净值的15%，因证券市场波动、上市</w:t>
      </w:r>
      <w:r>
        <w:rPr>
          <w:rFonts w:ascii="彩虹粗仿宋" w:eastAsia="彩虹粗仿宋" w:hAnsi="宋体" w:cs="Arial"/>
          <w:sz w:val="24"/>
        </w:rPr>
        <w:t>公司股票停牌、</w:t>
      </w:r>
      <w:r>
        <w:rPr>
          <w:rFonts w:ascii="彩虹粗仿宋" w:eastAsia="彩虹粗仿宋" w:hAnsi="宋体" w:cs="Arial" w:hint="eastAsia"/>
          <w:sz w:val="24"/>
        </w:rPr>
        <w:t>基金规模变动等基金管理人之外的因素致使基金不符合本款所规定比例限制的，基金管理人不得主动新增流动性受限资产的投资；</w:t>
      </w:r>
    </w:p>
    <w:p w14:paraId="394BA05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18.本基金投资存托凭证的比例限制依照境内上市交易的股票执行，与境内上市交易的股票合并计算；</w:t>
      </w:r>
    </w:p>
    <w:p w14:paraId="255401A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9.法律法规及中国证监会规定的和基金合同约定的其他投资限制。</w:t>
      </w:r>
    </w:p>
    <w:p w14:paraId="22D1274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除上述第2、7、</w:t>
      </w:r>
      <w:r>
        <w:rPr>
          <w:rFonts w:ascii="彩虹粗仿宋" w:eastAsia="彩虹粗仿宋" w:hAnsi="宋体" w:cs="Arial"/>
          <w:sz w:val="24"/>
        </w:rPr>
        <w:t>15</w:t>
      </w:r>
      <w:r>
        <w:rPr>
          <w:rFonts w:ascii="彩虹粗仿宋" w:eastAsia="彩虹粗仿宋" w:hAnsi="宋体" w:cs="Arial" w:hint="eastAsia"/>
          <w:sz w:val="24"/>
        </w:rPr>
        <w:t>、17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CDCE26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0E65CD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如果法律法规对上述投资比例限制进行变更的，以变更后的规定为准。法律法规或监管部门取消上述限制，如适用于本基金，基金管理人在履行适当程序后，则本基金投资不再受相关限制。</w:t>
      </w:r>
    </w:p>
    <w:p w14:paraId="308377C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5" w:name="OLE_LINK1"/>
      <w:r>
        <w:rPr>
          <w:rFonts w:ascii="彩虹粗仿宋" w:eastAsia="彩虹粗仿宋" w:hAnsi="宋体" w:cs="Arial" w:hint="eastAsia"/>
          <w:sz w:val="24"/>
        </w:rPr>
        <w:t>根据有关法律法规的规定及《基金合同》的约定，</w:t>
      </w:r>
      <w:bookmarkEnd w:id="5"/>
      <w:r>
        <w:rPr>
          <w:rFonts w:ascii="彩虹粗仿宋" w:eastAsia="彩虹粗仿宋" w:hAnsi="宋体" w:cs="Arial" w:hint="eastAsia"/>
          <w:sz w:val="24"/>
        </w:rPr>
        <w:t>对本托管协议第十五条第十二款基金投资禁止行为进行监督。基金托管人通过事后监督方式对基金管理人基金投资禁止行为进行监督。</w:t>
      </w:r>
    </w:p>
    <w:p w14:paraId="3E96A31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Pr>
          <w:rFonts w:ascii="彩虹粗仿宋" w:eastAsia="彩虹粗仿宋" w:hAnsi="宋体" w:cs="Arial"/>
          <w:sz w:val="24"/>
        </w:rPr>
        <w:t>按法律法规予以</w:t>
      </w:r>
      <w:r>
        <w:rPr>
          <w:rFonts w:ascii="彩虹粗仿宋" w:eastAsia="彩虹粗仿宋" w:hAnsi="宋体" w:cs="Arial" w:hint="eastAsia"/>
          <w:sz w:val="24"/>
        </w:rPr>
        <w:t>披露。重大关联交易应提交基金管理人董事会审议，并经过三分之二以上的独立董事通过。基金管理人董事会应至少每半年对关联交易事项进行审查。</w:t>
      </w:r>
    </w:p>
    <w:bookmarkEnd w:id="4"/>
    <w:p w14:paraId="33FBCA7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Pr>
          <w:rFonts w:ascii="彩虹粗仿宋" w:eastAsia="彩虹粗仿宋" w:hAnsi="宋体" w:cs="Arial"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D928BD8"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w:t>
      </w:r>
      <w:r>
        <w:rPr>
          <w:rFonts w:ascii="彩虹粗仿宋" w:eastAsia="彩虹粗仿宋" w:hint="eastAsia"/>
          <w:sz w:val="24"/>
        </w:rPr>
        <w:t>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A0BD727"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（五）基金托管人根据有关法律法规的规定及《基金合同》的约定，对基金管理人投资流通受限证券进行监督。</w:t>
      </w:r>
    </w:p>
    <w:p w14:paraId="1349CC69"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1339870"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Ansi="宋体" w:cs="Arial"/>
          <w:color w:val="000000"/>
          <w:sz w:val="24"/>
        </w:rPr>
        <w:t>券</w:t>
      </w:r>
      <w:proofErr w:type="gramEnd"/>
      <w:r>
        <w:rPr>
          <w:rFonts w:ascii="彩虹粗仿宋" w:eastAsia="彩虹粗仿宋" w:hAnsi="宋体" w:cs="Arial"/>
          <w:color w:val="000000"/>
          <w:sz w:val="24"/>
        </w:rPr>
        <w:t>等流通受限证券。本基金不投资有</w:t>
      </w:r>
      <w:proofErr w:type="gramStart"/>
      <w:r>
        <w:rPr>
          <w:rFonts w:ascii="彩虹粗仿宋" w:eastAsia="彩虹粗仿宋" w:hAnsi="宋体" w:cs="Arial"/>
          <w:color w:val="000000"/>
          <w:sz w:val="24"/>
        </w:rPr>
        <w:t>锁定期但锁定</w:t>
      </w:r>
      <w:proofErr w:type="gramEnd"/>
      <w:r>
        <w:rPr>
          <w:rFonts w:ascii="彩虹粗仿宋" w:eastAsia="彩虹粗仿宋" w:hAnsi="宋体" w:cs="Arial"/>
          <w:color w:val="000000"/>
          <w:sz w:val="24"/>
        </w:rPr>
        <w:t xml:space="preserve">期不明确的证券。 </w:t>
      </w:r>
    </w:p>
    <w:p w14:paraId="036BAE53"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本基金投资的流通受限证券限于可由中国证券登记结算有限责任公司或中央国债登记结算有限责任公司负责登记和存管，并可在证券交易所或全国银行间债券市场交易的证券。本基金投资的流通受限证券应保证登记存管在本基金名下，基金管理人负责相关工作的落实和协调，并确保基金托管人能够正常查询。因基金管理</w:t>
      </w:r>
      <w:proofErr w:type="gramStart"/>
      <w:r>
        <w:rPr>
          <w:rFonts w:ascii="彩虹粗仿宋" w:eastAsia="彩虹粗仿宋" w:hAnsi="宋体" w:cs="Arial"/>
          <w:color w:val="000000"/>
          <w:sz w:val="24"/>
        </w:rPr>
        <w:t>人原因</w:t>
      </w:r>
      <w:proofErr w:type="gramEnd"/>
      <w:r>
        <w:rPr>
          <w:rFonts w:ascii="彩虹粗仿宋" w:eastAsia="彩虹粗仿宋" w:hAnsi="宋体" w:cs="Arial"/>
          <w:color w:val="000000"/>
          <w:sz w:val="24"/>
        </w:rPr>
        <w:t>产生的流通受限证券登记存管问题，造成基金托管人无法安全保管本基金资产的责任与损失，及因流通受限证券存管直接影响本基金安全的责任及损失，由基金管理人承担。</w:t>
      </w:r>
    </w:p>
    <w:p w14:paraId="550B4B04"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lastRenderedPageBreak/>
        <w:t>本基金投资流通受限证券，不得预付任何形式的保证金。</w:t>
      </w:r>
    </w:p>
    <w:p w14:paraId="2D49C061"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2.基金管理人投资非公开发行股票，应制订流动性风险处置预案并经其董事会批准。风险处置预案应包括但不限于因投资流通受限证券需要解决的基金投资 比例限制失调、基金流动性困难以及相关损失的应对解决措施，以及有关异常情况的处置。基金管理人应在首次投资流通受限证券前向基金托管人提供基金投资非公开发行股票相关流动性风险处置预案。</w:t>
      </w:r>
    </w:p>
    <w:p w14:paraId="0166209C"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Ansi="宋体" w:cs="Arial"/>
          <w:color w:val="000000"/>
          <w:sz w:val="24"/>
        </w:rPr>
        <w:t>人原因</w:t>
      </w:r>
      <w:proofErr w:type="gramEnd"/>
      <w:r>
        <w:rPr>
          <w:rFonts w:ascii="彩虹粗仿宋" w:eastAsia="彩虹粗仿宋" w:hAnsi="宋体" w:cs="Arial"/>
          <w:color w:val="000000"/>
          <w:sz w:val="24"/>
        </w:rPr>
        <w:t>导致本基金出现损失致使基金托管人承担连带赔偿责任的，基金管理人应赔偿 基金托管人由此遭受的损失。</w:t>
      </w:r>
    </w:p>
    <w:p w14:paraId="45FDAC35"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FC43530"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（1）中国证监会批准发行非公开发行股票的批准文件。</w:t>
      </w:r>
    </w:p>
    <w:p w14:paraId="15393FC4"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（2）非公开发行股票有关发行数量、发行价格、锁定期等发行资料。</w:t>
      </w:r>
    </w:p>
    <w:p w14:paraId="50500710"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（3）非公开发行股票发行人与中国证券登记结算有限责任公司或中央国债登记结算有限责任公司签订的证券登记及服务协议。</w:t>
      </w:r>
    </w:p>
    <w:p w14:paraId="292BC7E2"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（4）基金拟认购的数量、价格、总成本、账面价值。</w:t>
      </w:r>
    </w:p>
    <w:p w14:paraId="0F9FDF21"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4.基金管理人应在本基金投资非公开发行股票后两个交易日内，在中国证监会</w:t>
      </w:r>
      <w:r>
        <w:rPr>
          <w:rFonts w:ascii="彩虹粗仿宋" w:eastAsia="彩虹粗仿宋" w:hAnsi="宋体" w:cs="Arial" w:hint="eastAsia"/>
          <w:color w:val="000000"/>
          <w:sz w:val="24"/>
        </w:rPr>
        <w:t>规定媒介</w:t>
      </w:r>
      <w:r>
        <w:rPr>
          <w:rFonts w:ascii="彩虹粗仿宋" w:eastAsia="彩虹粗仿宋" w:hAnsi="宋体" w:cs="Arial"/>
          <w:color w:val="000000"/>
          <w:sz w:val="24"/>
        </w:rPr>
        <w:t>披露所投资非公开发行股票的名称、数量、总成本、账面价值，以及总成本和账面价值占基金资产净值的比例、锁定期等信息。</w:t>
      </w:r>
    </w:p>
    <w:p w14:paraId="033FA70B"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本基金有关投资流通受限证券比例如违反有关限制规定，在合理期限内未能进行及时调整，基金管理人应在按规定编制临时报告书，予以公告。</w:t>
      </w:r>
    </w:p>
    <w:p w14:paraId="3BF8115C"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5.本基金参与转融通出借业务，管理人应当遵循审慎经营原则，配备技术系统和专业人员，制定科学合理的投资策略和风险管理制度，完善业务流程，有效防范和控制风险。基金托管人将对基金参与出借业务进行监督和复核。</w:t>
      </w:r>
    </w:p>
    <w:p w14:paraId="36BED163"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6.基金托管人根据有关规定有权对基金管理人进行以下事项监督：</w:t>
      </w:r>
    </w:p>
    <w:p w14:paraId="5173A113"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（1）本基金投资流通受限证券时的法律法规遵守情况。</w:t>
      </w:r>
    </w:p>
    <w:p w14:paraId="5BF73523"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（2）在基金投资流通受限证券管理工作方面有关制度、流动性风险处置预案</w:t>
      </w:r>
      <w:r>
        <w:rPr>
          <w:rFonts w:ascii="彩虹粗仿宋" w:eastAsia="彩虹粗仿宋" w:hAnsi="宋体" w:cs="Arial"/>
          <w:color w:val="000000"/>
          <w:sz w:val="24"/>
        </w:rPr>
        <w:lastRenderedPageBreak/>
        <w:t>的建立与完善情况。</w:t>
      </w:r>
    </w:p>
    <w:p w14:paraId="35BE5463"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 xml:space="preserve">（3）有关比例限制的执行情况。 </w:t>
      </w:r>
    </w:p>
    <w:p w14:paraId="61B8172E"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（4）信息披露情况。</w:t>
      </w:r>
    </w:p>
    <w:p w14:paraId="6E5E28E8" w14:textId="77777777" w:rsidR="004763B4" w:rsidRDefault="00083262">
      <w:pPr>
        <w:adjustRightInd w:val="0"/>
        <w:snapToGrid w:val="0"/>
        <w:ind w:firstLineChars="200" w:firstLine="480"/>
        <w:rPr>
          <w:rFonts w:ascii="彩虹粗仿宋" w:eastAsia="彩虹粗仿宋" w:hAnsi="宋体" w:cs="Arial"/>
          <w:color w:val="000000"/>
          <w:sz w:val="24"/>
        </w:rPr>
      </w:pPr>
      <w:r>
        <w:rPr>
          <w:rFonts w:ascii="彩虹粗仿宋" w:eastAsia="彩虹粗仿宋" w:hAnsi="宋体" w:cs="Arial"/>
          <w:color w:val="000000"/>
          <w:sz w:val="24"/>
        </w:rPr>
        <w:t>7.相关法律法规对基金投资流通受限证券有新规定的，从其规定。</w:t>
      </w:r>
    </w:p>
    <w:p w14:paraId="2D544D6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629813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14FFCC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4A1C65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4D430C9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045CE0D" w14:textId="77777777" w:rsidR="004763B4" w:rsidRDefault="004763B4">
      <w:pPr>
        <w:rPr>
          <w:rFonts w:ascii="彩虹粗仿宋" w:eastAsia="彩虹粗仿宋"/>
          <w:sz w:val="24"/>
        </w:rPr>
      </w:pPr>
    </w:p>
    <w:p w14:paraId="30FE851E" w14:textId="77777777" w:rsidR="004763B4" w:rsidRDefault="00083262">
      <w:pPr>
        <w:pStyle w:val="2"/>
        <w:jc w:val="center"/>
        <w:rPr>
          <w:rFonts w:ascii="彩虹粗仿宋" w:eastAsia="彩虹粗仿宋"/>
          <w:sz w:val="30"/>
        </w:rPr>
      </w:pPr>
      <w:bookmarkStart w:id="6" w:name="_Toc86225291"/>
      <w:bookmarkStart w:id="7" w:name="_Toc119402710"/>
      <w:bookmarkStart w:id="8" w:name="_Toc124325888"/>
      <w:bookmarkStart w:id="9" w:name="_Toc86727355"/>
      <w:bookmarkStart w:id="10" w:name="_Toc86649722"/>
      <w:bookmarkStart w:id="11" w:name="_Toc89163368"/>
      <w:bookmarkStart w:id="12" w:name="_Toc110765660"/>
      <w:bookmarkStart w:id="13" w:name="_Toc120435783"/>
      <w:bookmarkStart w:id="14" w:name="_Toc118774803"/>
      <w:bookmarkStart w:id="15" w:name="_Toc86726439"/>
      <w:bookmarkStart w:id="16" w:name="_Toc110830492"/>
      <w:bookmarkStart w:id="17" w:name="_Toc86737929"/>
      <w:bookmarkStart w:id="18" w:name="_Toc108512358"/>
      <w:bookmarkStart w:id="19" w:name="_Toc110761796"/>
      <w:bookmarkStart w:id="20" w:name="_Toc118972648"/>
      <w:bookmarkStart w:id="21" w:name="_Toc86223242"/>
      <w:bookmarkStart w:id="22" w:name="_Toc118212950"/>
      <w:r>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F4592D0"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14:paraId="1B1DF0E9"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14:paraId="66AFC8B9"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0B45640" w14:textId="77777777" w:rsidR="004763B4" w:rsidRDefault="004763B4">
      <w:pPr>
        <w:rPr>
          <w:rFonts w:ascii="彩虹粗仿宋" w:eastAsia="彩虹粗仿宋"/>
          <w:sz w:val="24"/>
        </w:rPr>
      </w:pPr>
    </w:p>
    <w:p w14:paraId="215D7E17" w14:textId="77777777" w:rsidR="004763B4" w:rsidRDefault="00083262">
      <w:pPr>
        <w:pStyle w:val="2"/>
        <w:jc w:val="center"/>
        <w:rPr>
          <w:rFonts w:ascii="彩虹粗仿宋" w:eastAsia="彩虹粗仿宋"/>
          <w:sz w:val="30"/>
        </w:rPr>
      </w:pPr>
      <w:bookmarkStart w:id="23" w:name="_Toc110830493"/>
      <w:bookmarkStart w:id="24" w:name="_Toc86726440"/>
      <w:bookmarkStart w:id="25" w:name="_Toc120435784"/>
      <w:bookmarkStart w:id="26" w:name="_Toc86223243"/>
      <w:bookmarkStart w:id="27" w:name="_Toc86737930"/>
      <w:bookmarkStart w:id="28" w:name="_Toc86649723"/>
      <w:bookmarkStart w:id="29" w:name="_Toc84234388"/>
      <w:bookmarkStart w:id="30" w:name="_Toc118212951"/>
      <w:bookmarkStart w:id="31" w:name="_Toc110761797"/>
      <w:bookmarkStart w:id="32" w:name="_Toc86225292"/>
      <w:bookmarkStart w:id="33" w:name="_Toc89163369"/>
      <w:bookmarkStart w:id="34" w:name="_Toc119402711"/>
      <w:bookmarkStart w:id="35" w:name="_Toc110765661"/>
      <w:bookmarkStart w:id="36" w:name="_Toc86204789"/>
      <w:bookmarkStart w:id="37" w:name="_Toc118774804"/>
      <w:bookmarkStart w:id="38" w:name="_Toc84133786"/>
      <w:bookmarkStart w:id="39" w:name="_Toc124325889"/>
      <w:bookmarkStart w:id="40" w:name="_Toc86727356"/>
      <w:bookmarkStart w:id="41" w:name="_Toc108512359"/>
      <w:bookmarkStart w:id="42" w:name="_Toc84234435"/>
      <w:bookmarkStart w:id="43" w:name="_Toc118972649"/>
      <w:r>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ABAEB9C"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0FED87F2"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2684F697"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5F4CC5E"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3.基金托管人按照规定开设基金财产的资金账户、证券账户等投资所需账户。</w:t>
      </w:r>
    </w:p>
    <w:p w14:paraId="2B511B9D"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619D0F94"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w:t>
      </w:r>
      <w:r>
        <w:rPr>
          <w:rFonts w:ascii="彩虹粗仿宋" w:eastAsia="彩虹粗仿宋" w:hint="eastAsia"/>
          <w:sz w:val="24"/>
        </w:rPr>
        <w:lastRenderedPageBreak/>
        <w:t>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w:t>
      </w:r>
      <w:r>
        <w:rPr>
          <w:rFonts w:ascii="彩虹粗仿宋" w:eastAsia="彩虹粗仿宋" w:hAnsi="宋体" w:cs="Arial" w:hint="eastAsia"/>
          <w:sz w:val="24"/>
        </w:rPr>
        <w:t>和账户维护费等费用）。</w:t>
      </w:r>
    </w:p>
    <w:p w14:paraId="616B8DC9"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sz w:val="24"/>
        </w:rPr>
        <w:t>6.</w:t>
      </w:r>
      <w:r>
        <w:rPr>
          <w:rFonts w:ascii="彩虹粗仿宋" w:eastAsia="彩虹粗仿宋" w:hAnsi="宋体" w:cs="Arial" w:hint="eastAsia"/>
          <w:sz w:val="24"/>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2B3CDF"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73CB2394"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320EC9C"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12202A7"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w:t>
      </w:r>
      <w:r>
        <w:rPr>
          <w:rFonts w:ascii="彩虹粗仿宋" w:eastAsia="彩虹粗仿宋" w:hAnsi="宋体" w:cs="Arial"/>
          <w:sz w:val="24"/>
        </w:rPr>
        <w:t>共和国证券法</w:t>
      </w:r>
      <w:r>
        <w:rPr>
          <w:rFonts w:ascii="彩虹粗仿宋" w:eastAsia="彩虹粗仿宋" w:hAnsi="宋体" w:cs="Arial" w:hint="eastAsia"/>
          <w:sz w:val="24"/>
        </w:rPr>
        <w:t>》规定的会计师事务所进行验资，出具验资报告。出具的验资报告由参加验资的</w:t>
      </w:r>
      <w:r>
        <w:rPr>
          <w:rFonts w:ascii="彩虹粗仿宋" w:eastAsia="彩虹粗仿宋" w:hAnsi="宋体" w:cs="Arial"/>
          <w:sz w:val="24"/>
        </w:rPr>
        <w:t>2</w:t>
      </w:r>
      <w:r>
        <w:rPr>
          <w:rFonts w:ascii="彩虹粗仿宋" w:eastAsia="彩虹粗仿宋" w:hAnsi="宋体" w:cs="Arial" w:hint="eastAsia"/>
          <w:sz w:val="24"/>
        </w:rPr>
        <w:t>名或</w:t>
      </w:r>
      <w:r>
        <w:rPr>
          <w:rFonts w:ascii="彩虹粗仿宋" w:eastAsia="彩虹粗仿宋" w:hAnsi="宋体" w:cs="Arial"/>
          <w:sz w:val="24"/>
        </w:rPr>
        <w:t>2</w:t>
      </w:r>
      <w:r>
        <w:rPr>
          <w:rFonts w:ascii="彩虹粗仿宋" w:eastAsia="彩虹粗仿宋" w:hAnsi="宋体" w:cs="Arial" w:hint="eastAsia"/>
          <w:sz w:val="24"/>
        </w:rPr>
        <w:t>名以上中国注册会计师签字方为有效。</w:t>
      </w:r>
    </w:p>
    <w:p w14:paraId="00CC7C51"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w:t>
      </w:r>
    </w:p>
    <w:p w14:paraId="3FC9D304"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3CB12502"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14:paraId="72E599E3"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D4D8356"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51B46D68"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1D60FAB"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w:t>
      </w:r>
      <w:r>
        <w:rPr>
          <w:rFonts w:ascii="彩虹粗仿宋" w:eastAsia="彩虹粗仿宋" w:hAnsi="宋体" w:cs="Arial" w:hint="eastAsia"/>
          <w:sz w:val="24"/>
        </w:rPr>
        <w:lastRenderedPageBreak/>
        <w:t>申请。</w:t>
      </w:r>
    </w:p>
    <w:p w14:paraId="5C23C147" w14:textId="77777777" w:rsidR="004763B4" w:rsidRDefault="004763B4">
      <w:pPr>
        <w:adjustRightInd w:val="0"/>
        <w:snapToGrid w:val="0"/>
        <w:ind w:firstLine="480"/>
        <w:rPr>
          <w:rFonts w:ascii="彩虹粗仿宋" w:eastAsia="彩虹粗仿宋" w:hAnsi="宋体" w:cs="Arial"/>
          <w:sz w:val="24"/>
        </w:rPr>
      </w:pPr>
    </w:p>
    <w:p w14:paraId="62BA966F"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2B2A11C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14:paraId="07F8663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75456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30F49E4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369723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6F4FB96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6089070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14:paraId="03DE6FA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076D4B2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6E904F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（六）开放式基金账户的开设和管理</w:t>
      </w:r>
    </w:p>
    <w:p w14:paraId="346F490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管理人选择通过机构投资者</w:t>
      </w:r>
      <w:proofErr w:type="gramStart"/>
      <w:r>
        <w:rPr>
          <w:rFonts w:ascii="彩虹粗仿宋" w:eastAsia="彩虹粗仿宋" w:hAnsi="宋体" w:cs="Arial" w:hint="eastAsia"/>
          <w:sz w:val="24"/>
        </w:rPr>
        <w:t>场外投资</w:t>
      </w:r>
      <w:proofErr w:type="gramEnd"/>
      <w:r>
        <w:rPr>
          <w:rFonts w:ascii="彩虹粗仿宋" w:eastAsia="彩虹粗仿宋" w:hAnsi="宋体" w:cs="Arial" w:hint="eastAsia"/>
          <w:sz w:val="24"/>
        </w:rPr>
        <w:t>业务平台（简称"FISP"）参与开放式基金投资的，应由投资管理人在FISP系统登记产品信息，由托管人对银行账户信息进</w:t>
      </w:r>
      <w:r>
        <w:rPr>
          <w:rFonts w:ascii="彩虹粗仿宋" w:eastAsia="彩虹粗仿宋" w:hAnsi="宋体" w:cs="Arial" w:hint="eastAsia"/>
          <w:sz w:val="24"/>
        </w:rPr>
        <w:lastRenderedPageBreak/>
        <w:t>行验证。产品登记成功后，由投资管理人在线向基金销售机构提交开户申请，账户开立信息通过FISP反馈投资管理人和托管人。</w:t>
      </w:r>
    </w:p>
    <w:p w14:paraId="2C50485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（七）其他账户的开立和管理</w:t>
      </w:r>
    </w:p>
    <w:p w14:paraId="1EF4D69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1D8A77C"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F9E10F8"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（八）基金财产投资的有关有价凭证等的保管</w:t>
      </w:r>
    </w:p>
    <w:p w14:paraId="4DFDDA87" w14:textId="77777777" w:rsidR="004763B4" w:rsidRDefault="00083262">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EB53E1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（九）与基金财产有关的重大合同的保管</w:t>
      </w:r>
    </w:p>
    <w:p w14:paraId="2A1CCCE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的规定。</w:t>
      </w:r>
    </w:p>
    <w:p w14:paraId="2DEDA91D" w14:textId="77777777" w:rsidR="004763B4" w:rsidRDefault="000832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117D864B" w14:textId="77777777" w:rsidR="004763B4" w:rsidRDefault="004763B4">
      <w:pPr>
        <w:adjustRightInd w:val="0"/>
        <w:snapToGrid w:val="0"/>
        <w:ind w:firstLineChars="200" w:firstLine="600"/>
        <w:rPr>
          <w:rFonts w:ascii="彩虹粗仿宋" w:eastAsia="彩虹粗仿宋"/>
          <w:sz w:val="30"/>
          <w:szCs w:val="30"/>
        </w:rPr>
      </w:pPr>
    </w:p>
    <w:p w14:paraId="1795AD09" w14:textId="77777777" w:rsidR="004763B4" w:rsidRDefault="004763B4">
      <w:pPr>
        <w:rPr>
          <w:rFonts w:ascii="彩虹粗仿宋" w:eastAsia="彩虹粗仿宋"/>
          <w:sz w:val="24"/>
        </w:rPr>
      </w:pPr>
    </w:p>
    <w:p w14:paraId="641BF82D" w14:textId="77777777" w:rsidR="004763B4" w:rsidRDefault="00083262">
      <w:pPr>
        <w:pStyle w:val="2"/>
        <w:jc w:val="center"/>
        <w:rPr>
          <w:rFonts w:ascii="彩虹粗仿宋" w:eastAsia="彩虹粗仿宋"/>
          <w:sz w:val="30"/>
        </w:rPr>
      </w:pPr>
      <w:bookmarkStart w:id="44" w:name="_Toc84234436"/>
      <w:bookmarkStart w:id="45" w:name="_Toc86726441"/>
      <w:bookmarkStart w:id="46" w:name="_Toc89163370"/>
      <w:bookmarkStart w:id="47" w:name="_Toc86204790"/>
      <w:bookmarkStart w:id="48" w:name="_Toc108512360"/>
      <w:bookmarkStart w:id="49" w:name="_Toc110830494"/>
      <w:bookmarkStart w:id="50" w:name="_Toc86225293"/>
      <w:bookmarkStart w:id="51" w:name="_Toc118212952"/>
      <w:bookmarkStart w:id="52" w:name="_Toc110761798"/>
      <w:bookmarkStart w:id="53" w:name="_Toc86649724"/>
      <w:bookmarkStart w:id="54" w:name="_Toc124325890"/>
      <w:bookmarkStart w:id="55" w:name="_Toc86223244"/>
      <w:bookmarkStart w:id="56" w:name="_Toc86727357"/>
      <w:bookmarkStart w:id="57" w:name="_Toc110765662"/>
      <w:bookmarkStart w:id="58" w:name="_Toc84234389"/>
      <w:bookmarkStart w:id="59" w:name="_Toc118972650"/>
      <w:bookmarkStart w:id="60" w:name="_Toc84133787"/>
      <w:bookmarkStart w:id="61" w:name="_Toc86737931"/>
      <w:bookmarkStart w:id="62" w:name="_Toc120435785"/>
      <w:bookmarkStart w:id="63" w:name="_Toc119402712"/>
      <w:bookmarkStart w:id="64" w:name="_Toc118774805"/>
      <w:r>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00CC23F"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w:t>
      </w:r>
      <w:r>
        <w:rPr>
          <w:rFonts w:ascii="彩虹粗仿宋" w:eastAsia="彩虹粗仿宋" w:hAnsi="宋体" w:cs="Arial" w:hint="eastAsia"/>
          <w:sz w:val="24"/>
        </w:rPr>
        <w:lastRenderedPageBreak/>
        <w:t>令，基金托管人执行基金管理人的指令、办理基金名下的资金往来等有关事项。</w:t>
      </w:r>
    </w:p>
    <w:p w14:paraId="2484B3F2"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11F80237"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7279AD67"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0FE35D0"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73634DE4"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3B02228"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71B3BF6"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4AD827A1"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1752E78"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67848968"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6298567C"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093ACEFB"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023374B"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520D165B"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B1F804B"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628991EA"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w:t>
      </w:r>
      <w:r>
        <w:rPr>
          <w:rFonts w:ascii="彩虹粗仿宋" w:eastAsia="彩虹粗仿宋" w:hAnsi="宋体" w:cs="Arial" w:hint="eastAsia"/>
          <w:sz w:val="24"/>
        </w:rPr>
        <w:lastRenderedPageBreak/>
        <w:t>通知进行表面真实性及权限范围核对，复核无误后应在规定期限内执行，不得延误，如有疑问必须及时通知基金管理人。</w:t>
      </w:r>
    </w:p>
    <w:p w14:paraId="52AFA196"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36D6E0B1" w14:textId="77777777" w:rsidR="004763B4" w:rsidRDefault="00083262">
      <w:pPr>
        <w:pStyle w:val="a6"/>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14:paraId="6C76C109" w14:textId="77777777" w:rsidR="004763B4" w:rsidRDefault="00083262">
      <w:pPr>
        <w:pStyle w:val="a6"/>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14:paraId="22D8753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6514F3F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FE09E7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172C944D" w14:textId="77777777" w:rsidR="004763B4" w:rsidRDefault="00083262">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14:paraId="244209B1"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47A9C3A"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14:paraId="3EC81724"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1D2C9127"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w:t>
      </w:r>
      <w:r>
        <w:rPr>
          <w:rFonts w:ascii="彩虹粗仿宋" w:eastAsia="彩虹粗仿宋" w:hAnsi="宋体" w:cs="Arial" w:hint="eastAsia"/>
          <w:sz w:val="24"/>
        </w:rPr>
        <w:lastRenderedPageBreak/>
        <w:t>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14:paraId="51C94D2C"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2A2802E"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F1C2D78"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7091662" w14:textId="77777777" w:rsidR="004763B4" w:rsidRDefault="004763B4">
      <w:pPr>
        <w:adjustRightInd w:val="0"/>
        <w:snapToGrid w:val="0"/>
        <w:rPr>
          <w:rFonts w:ascii="彩虹粗仿宋" w:eastAsia="彩虹粗仿宋" w:hAnsi="宋体" w:cs="Arial"/>
          <w:sz w:val="24"/>
        </w:rPr>
      </w:pPr>
    </w:p>
    <w:p w14:paraId="52AC7382" w14:textId="77777777" w:rsidR="004763B4" w:rsidRDefault="00083262">
      <w:pPr>
        <w:pStyle w:val="2"/>
        <w:jc w:val="center"/>
        <w:rPr>
          <w:rFonts w:ascii="彩虹粗仿宋" w:eastAsia="彩虹粗仿宋"/>
          <w:sz w:val="30"/>
        </w:rPr>
      </w:pPr>
      <w:bookmarkStart w:id="65" w:name="_Toc118212953"/>
      <w:bookmarkStart w:id="66" w:name="_Toc118972651"/>
      <w:bookmarkStart w:id="67" w:name="_Toc86726442"/>
      <w:bookmarkStart w:id="68" w:name="_Toc84234437"/>
      <w:bookmarkStart w:id="69" w:name="_Toc86649725"/>
      <w:bookmarkStart w:id="70" w:name="_Toc86225294"/>
      <w:bookmarkStart w:id="71" w:name="_Toc86204791"/>
      <w:bookmarkStart w:id="72" w:name="_Toc120435786"/>
      <w:bookmarkStart w:id="73" w:name="_Toc89163371"/>
      <w:bookmarkStart w:id="74" w:name="_Toc118774806"/>
      <w:bookmarkStart w:id="75" w:name="_Toc110761799"/>
      <w:bookmarkStart w:id="76" w:name="_Toc110830495"/>
      <w:bookmarkStart w:id="77" w:name="_Toc86223245"/>
      <w:bookmarkStart w:id="78" w:name="_Toc119402713"/>
      <w:bookmarkStart w:id="79" w:name="_Toc124325891"/>
      <w:bookmarkStart w:id="80" w:name="_Toc108512361"/>
      <w:bookmarkStart w:id="81" w:name="_Toc84234390"/>
      <w:bookmarkStart w:id="82" w:name="_Toc84133788"/>
      <w:bookmarkStart w:id="83" w:name="_Toc86737932"/>
      <w:bookmarkStart w:id="84" w:name="_Toc86727358"/>
      <w:bookmarkStart w:id="85" w:name="_Toc110765663"/>
      <w:r>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CD82E20"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14:paraId="4C6E4AA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E33D2D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 xml:space="preserve">本基金参加期权交易前，应当按照现有证券账户开立方式向中国证券登记结 算有限责任公司申请新开立一个普通证券账户，基金管理人负责将该证券账户指 </w:t>
      </w:r>
      <w:proofErr w:type="gramStart"/>
      <w:r>
        <w:rPr>
          <w:rFonts w:ascii="彩虹粗仿宋" w:eastAsia="彩虹粗仿宋" w:hAnsi="宋体" w:cs="Arial"/>
          <w:sz w:val="24"/>
        </w:rPr>
        <w:t>定交易</w:t>
      </w:r>
      <w:proofErr w:type="gramEnd"/>
      <w:r>
        <w:rPr>
          <w:rFonts w:ascii="彩虹粗仿宋" w:eastAsia="彩虹粗仿宋" w:hAnsi="宋体" w:cs="Arial"/>
          <w:sz w:val="24"/>
        </w:rPr>
        <w:t>在证券公司或期货公司，由相应证券公司（或期货公司）为本产品开立衍生品合约账户后，再通过该证券公司（或期货公司）参与期权交易。</w:t>
      </w:r>
    </w:p>
    <w:p w14:paraId="652D90C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2018CF8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w:t>
      </w:r>
      <w:proofErr w:type="gramStart"/>
      <w:r>
        <w:rPr>
          <w:rFonts w:ascii="彩虹粗仿宋" w:eastAsia="彩虹粗仿宋" w:hAnsi="宋体" w:cs="Arial" w:hint="eastAsia"/>
          <w:sz w:val="24"/>
        </w:rPr>
        <w:t>一同就</w:t>
      </w:r>
      <w:proofErr w:type="gramEnd"/>
      <w:r>
        <w:rPr>
          <w:rFonts w:ascii="彩虹粗仿宋" w:eastAsia="彩虹粗仿宋" w:hAnsi="宋体" w:cs="Arial" w:hint="eastAsia"/>
          <w:sz w:val="24"/>
        </w:rPr>
        <w:t>期货开户、清算、估值、交收等事宜另行签署《期货投资托管操作三方备忘录》。</w:t>
      </w:r>
    </w:p>
    <w:p w14:paraId="72DD6931"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3197B22"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7395846A" w14:textId="77777777" w:rsidR="004763B4" w:rsidRDefault="00083262">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14:paraId="4A05D822" w14:textId="77777777" w:rsidR="004763B4" w:rsidRDefault="00083262">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w:t>
      </w:r>
      <w:r>
        <w:rPr>
          <w:rFonts w:ascii="彩虹粗仿宋" w:eastAsia="彩虹粗仿宋" w:hint="eastAsia"/>
          <w:sz w:val="24"/>
        </w:rPr>
        <w:lastRenderedPageBreak/>
        <w:t>充协议》用以具体明确基金管理人与基金托管人在证券交易资金结算业务中的责任。</w:t>
      </w:r>
    </w:p>
    <w:p w14:paraId="5D41737B"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F81B70"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34164C9"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2EC46FB4" w14:textId="77777777" w:rsidR="004763B4" w:rsidRDefault="00083262">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0FE0975"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14:paraId="6CBDA8C4"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43004A2F"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2.交易记录、资金和证券账目核对的时间和方式</w:t>
      </w:r>
    </w:p>
    <w:p w14:paraId="7D2AC4F6"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6CD3140A" w14:textId="77777777" w:rsidR="004763B4" w:rsidRDefault="00083262">
      <w:pPr>
        <w:adjustRightInd w:val="0"/>
        <w:snapToGrid w:val="0"/>
        <w:ind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w:t>
      </w:r>
      <w:r>
        <w:rPr>
          <w:rFonts w:ascii="彩虹粗仿宋" w:eastAsia="彩虹粗仿宋" w:hAnsi="宋体" w:cs="Arial" w:hint="eastAsia"/>
          <w:sz w:val="24"/>
        </w:rPr>
        <w:t>交易记录与基金会计账簿上的交易记录完全一致。如果实际交易记录与会计账簿记录不一致，造成基金会计核算不完整或不真实，由此导致的损失由基金管理人承担。</w:t>
      </w:r>
    </w:p>
    <w:p w14:paraId="78B4BB71"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（2）资金账目的核对</w:t>
      </w:r>
    </w:p>
    <w:p w14:paraId="4887C8F9"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资金账目按日核实。</w:t>
      </w:r>
    </w:p>
    <w:p w14:paraId="1C35DA17"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（3）证券账目的核对</w:t>
      </w:r>
    </w:p>
    <w:p w14:paraId="58FC71D5"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7A7CB2C"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（三）基金份额申购和赎回业务处理的基本规定</w:t>
      </w:r>
    </w:p>
    <w:p w14:paraId="2B2A4C2C"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1.基金份额申购、赎回的确认、清算由基金管理人或其委托的登记机构负责。</w:t>
      </w:r>
    </w:p>
    <w:p w14:paraId="10B91120"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6D2A3A3"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基金管理人应保证本基金（或本基金管理人委托）的登记机构每个工作日</w:t>
      </w:r>
      <w:r>
        <w:rPr>
          <w:rFonts w:ascii="彩虹粗仿宋" w:eastAsia="彩虹粗仿宋" w:hAnsi="宋体" w:cs="Arial"/>
          <w:sz w:val="24"/>
        </w:rPr>
        <w:t>15:00</w:t>
      </w:r>
      <w:r>
        <w:rPr>
          <w:rFonts w:ascii="彩虹粗仿宋" w:eastAsia="彩虹粗仿宋" w:hAnsi="宋体" w:cs="Arial" w:hint="eastAsia"/>
          <w:sz w:val="24"/>
        </w:rPr>
        <w:t>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14:paraId="79DC61BA"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登记机构应通过与基金托管人建立的加密系统发送有关数据</w:t>
      </w:r>
      <w:r>
        <w:rPr>
          <w:rFonts w:ascii="彩虹粗仿宋" w:eastAsia="彩虹粗仿宋" w:hAnsi="宋体" w:cs="Arial"/>
          <w:sz w:val="24"/>
        </w:rPr>
        <w:t>(</w:t>
      </w:r>
      <w:r>
        <w:rPr>
          <w:rFonts w:ascii="彩虹粗仿宋" w:eastAsia="彩虹粗仿宋" w:hAnsi="宋体" w:cs="Arial" w:hint="eastAsia"/>
          <w:sz w:val="24"/>
        </w:rPr>
        <w:t>包括电子数据和盖章生效的纸制清算汇总表</w:t>
      </w:r>
      <w:r>
        <w:rPr>
          <w:rFonts w:ascii="彩虹粗仿宋" w:eastAsia="彩虹粗仿宋" w:hAnsi="宋体" w:cs="Arial"/>
          <w:sz w:val="24"/>
        </w:rPr>
        <w:t>)</w:t>
      </w:r>
      <w:r>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169E21A5"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5.</w:t>
      </w:r>
      <w:r>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B7D8132"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6.关于清算专用账户的设立和管理</w:t>
      </w:r>
    </w:p>
    <w:p w14:paraId="28D2353B"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为满足申购、赎回及分红资金汇划的需要，由基金管理人开立资金清算的专用账户，该账户由登记机构管理。</w:t>
      </w:r>
    </w:p>
    <w:p w14:paraId="2350D8A6"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7.</w:t>
      </w:r>
      <w:r>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F942554"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lastRenderedPageBreak/>
        <w:t>8.赎回和分红资金划拨规定</w:t>
      </w:r>
    </w:p>
    <w:p w14:paraId="2168FD3B"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14:paraId="53C781B2"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9.资金指令</w:t>
      </w:r>
    </w:p>
    <w:p w14:paraId="27C76B86"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除申购款项到达基金资金账户需双方按约定方式对账外，回购到期付款和与投资有关的付款、赎回和分红资金划拨时，基金管理人需向基金托管人下达指令。</w:t>
      </w:r>
    </w:p>
    <w:p w14:paraId="2874AFB3"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1F852C76"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14:paraId="53077AD1"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14:paraId="60FF767F"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14:paraId="4371C66B"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7ED5E05E"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14:paraId="6E0D6CC2"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本基金开展基金转换业务应按相关法律法规规定及《基金合同》的约定进行公告。</w:t>
      </w:r>
    </w:p>
    <w:p w14:paraId="14123D00"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14:paraId="1ABAD97B"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0D360B2B"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D572F09"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44B451DF"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（七）投资银行存款的特别约定</w:t>
      </w:r>
    </w:p>
    <w:p w14:paraId="54B5BD8A"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w:t>
      </w:r>
      <w:r>
        <w:rPr>
          <w:rFonts w:ascii="彩虹粗仿宋" w:eastAsia="彩虹粗仿宋" w:hAnsi="宋体" w:cs="Arial" w:hint="eastAsia"/>
          <w:sz w:val="24"/>
        </w:rPr>
        <w:lastRenderedPageBreak/>
        <w:t>但不限于以下内容：</w:t>
      </w:r>
    </w:p>
    <w:p w14:paraId="5B3535B1"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14:paraId="2359A9FC"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1DAE47D"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057C753E"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12AA793C" w14:textId="77777777" w:rsidR="004763B4" w:rsidRDefault="00083262">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0F99EA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3476A4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p>
    <w:p w14:paraId="15C596F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w:t>
      </w:r>
    </w:p>
    <w:p w14:paraId="583E365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（2）在定期报告中，对未按约定送达托管人保管的实物凭证信息进行规定范围信息披露；</w:t>
      </w:r>
    </w:p>
    <w:p w14:paraId="65B8481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69B20D3E" w14:textId="77777777" w:rsidR="004763B4" w:rsidRDefault="00083262">
      <w:pPr>
        <w:pStyle w:val="2"/>
        <w:jc w:val="center"/>
        <w:rPr>
          <w:rFonts w:ascii="彩虹粗仿宋" w:eastAsia="彩虹粗仿宋"/>
          <w:sz w:val="30"/>
        </w:rPr>
      </w:pPr>
      <w:bookmarkStart w:id="86" w:name="_Toc124325892"/>
      <w:r>
        <w:rPr>
          <w:rFonts w:ascii="彩虹粗仿宋" w:eastAsia="彩虹粗仿宋" w:hint="eastAsia"/>
          <w:sz w:val="30"/>
        </w:rPr>
        <w:lastRenderedPageBreak/>
        <w:t xml:space="preserve"> 八、基金资产净值计算和会计核算</w:t>
      </w:r>
      <w:bookmarkEnd w:id="86"/>
    </w:p>
    <w:p w14:paraId="6EB2E587"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601C5C5C"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bookmarkStart w:id="87" w:name="_Hlk35022142"/>
      <w:r>
        <w:rPr>
          <w:rFonts w:ascii="彩虹粗仿宋" w:eastAsia="彩虹粗仿宋" w:hAnsi="宋体" w:cs="Arial" w:hint="eastAsia"/>
          <w:sz w:val="24"/>
        </w:rPr>
        <w:t>各类</w:t>
      </w:r>
      <w:r>
        <w:rPr>
          <w:rFonts w:ascii="彩虹粗仿宋" w:eastAsia="彩虹粗仿宋" w:hAnsi="宋体" w:cs="Arial"/>
          <w:sz w:val="24"/>
        </w:rPr>
        <w:t>基金份额净值是按照每个</w:t>
      </w:r>
      <w:r>
        <w:rPr>
          <w:rFonts w:ascii="彩虹粗仿宋" w:eastAsia="彩虹粗仿宋" w:hAnsi="宋体" w:cs="Arial" w:hint="eastAsia"/>
          <w:sz w:val="24"/>
        </w:rPr>
        <w:t>估值</w:t>
      </w:r>
      <w:r>
        <w:rPr>
          <w:rFonts w:ascii="彩虹粗仿宋" w:eastAsia="彩虹粗仿宋" w:hAnsi="宋体" w:cs="Arial"/>
          <w:sz w:val="24"/>
        </w:rPr>
        <w:t>日闭市后，</w:t>
      </w:r>
      <w:r>
        <w:rPr>
          <w:rFonts w:ascii="彩虹粗仿宋" w:eastAsia="彩虹粗仿宋" w:hAnsi="宋体" w:cs="Arial" w:hint="eastAsia"/>
          <w:sz w:val="24"/>
        </w:rPr>
        <w:t>该类</w:t>
      </w:r>
      <w:r>
        <w:rPr>
          <w:rFonts w:ascii="彩虹粗仿宋" w:eastAsia="彩虹粗仿宋" w:hAnsi="宋体" w:cs="Arial"/>
          <w:sz w:val="24"/>
        </w:rPr>
        <w:t>基金资产净值除以当日</w:t>
      </w:r>
      <w:r>
        <w:rPr>
          <w:rFonts w:ascii="彩虹粗仿宋" w:eastAsia="彩虹粗仿宋" w:hAnsi="宋体" w:cs="Arial" w:hint="eastAsia"/>
          <w:sz w:val="24"/>
        </w:rPr>
        <w:t>该类</w:t>
      </w:r>
      <w:r>
        <w:rPr>
          <w:rFonts w:ascii="彩虹粗仿宋" w:eastAsia="彩虹粗仿宋" w:hAnsi="宋体" w:cs="Arial"/>
          <w:sz w:val="24"/>
        </w:rPr>
        <w:t>基金份额的余额数量计算，</w:t>
      </w:r>
      <w:r>
        <w:rPr>
          <w:rFonts w:ascii="彩虹粗仿宋" w:eastAsia="彩虹粗仿宋" w:hAnsi="宋体" w:cs="Arial" w:hint="eastAsia"/>
          <w:sz w:val="24"/>
        </w:rPr>
        <w:t>各类基金份额净值均</w:t>
      </w:r>
      <w:r>
        <w:rPr>
          <w:rFonts w:ascii="彩虹粗仿宋" w:eastAsia="彩虹粗仿宋" w:hAnsi="宋体" w:cs="Arial"/>
          <w:sz w:val="24"/>
        </w:rPr>
        <w:t>精确到</w:t>
      </w:r>
      <w:r>
        <w:rPr>
          <w:rFonts w:ascii="彩虹粗仿宋" w:eastAsia="彩虹粗仿宋" w:hAnsi="宋体" w:cs="Arial" w:hint="eastAsia"/>
          <w:sz w:val="24"/>
        </w:rPr>
        <w:t>0.0001</w:t>
      </w:r>
      <w:r>
        <w:rPr>
          <w:rFonts w:ascii="彩虹粗仿宋" w:eastAsia="彩虹粗仿宋" w:hAnsi="宋体" w:cs="Arial"/>
          <w:sz w:val="24"/>
        </w:rPr>
        <w:t>元，小数点后第</w:t>
      </w:r>
      <w:r>
        <w:rPr>
          <w:rFonts w:ascii="彩虹粗仿宋" w:eastAsia="彩虹粗仿宋" w:hAnsi="宋体" w:cs="Arial" w:hint="eastAsia"/>
          <w:sz w:val="24"/>
        </w:rPr>
        <w:t>5</w:t>
      </w:r>
      <w:r>
        <w:rPr>
          <w:rFonts w:ascii="彩虹粗仿宋" w:eastAsia="彩虹粗仿宋" w:hAnsi="宋体" w:cs="Arial"/>
          <w:sz w:val="24"/>
        </w:rPr>
        <w:t>位四舍五入。基金管理人可以设立大额赎回情形下的净值精度应急调整机制。国家另有规定的，从其规定。</w:t>
      </w:r>
    </w:p>
    <w:p w14:paraId="3B101A0D"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基金管理人于</w:t>
      </w:r>
      <w:r>
        <w:rPr>
          <w:rFonts w:ascii="彩虹粗仿宋" w:eastAsia="彩虹粗仿宋" w:hAnsi="宋体" w:cs="Arial"/>
          <w:sz w:val="24"/>
        </w:rPr>
        <w:t>每个</w:t>
      </w:r>
      <w:r>
        <w:rPr>
          <w:rFonts w:ascii="彩虹粗仿宋" w:eastAsia="彩虹粗仿宋" w:hAnsi="宋体" w:cs="Arial" w:hint="eastAsia"/>
          <w:sz w:val="24"/>
        </w:rPr>
        <w:t>估值</w:t>
      </w:r>
      <w:r>
        <w:rPr>
          <w:rFonts w:ascii="彩虹粗仿宋" w:eastAsia="彩虹粗仿宋" w:hAnsi="宋体" w:cs="Arial"/>
          <w:sz w:val="24"/>
        </w:rPr>
        <w:t>日计算基金资产净值及</w:t>
      </w:r>
      <w:r>
        <w:rPr>
          <w:rFonts w:ascii="彩虹粗仿宋" w:eastAsia="彩虹粗仿宋" w:hAnsi="宋体" w:cs="Arial" w:hint="eastAsia"/>
          <w:sz w:val="24"/>
        </w:rPr>
        <w:t>各类</w:t>
      </w:r>
      <w:r>
        <w:rPr>
          <w:rFonts w:ascii="彩虹粗仿宋" w:eastAsia="彩虹粗仿宋" w:hAnsi="宋体" w:cs="Arial"/>
          <w:sz w:val="24"/>
        </w:rPr>
        <w:t>基金份额净值，并按规定公告。</w:t>
      </w:r>
    </w:p>
    <w:p w14:paraId="73C43C63"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2.基金管理人</w:t>
      </w:r>
      <w:proofErr w:type="gramStart"/>
      <w:r>
        <w:rPr>
          <w:rFonts w:ascii="彩虹粗仿宋" w:eastAsia="彩虹粗仿宋" w:hAnsi="宋体" w:cs="Arial" w:hint="eastAsia"/>
          <w:sz w:val="24"/>
        </w:rPr>
        <w:t>应每个</w:t>
      </w:r>
      <w:proofErr w:type="gramEnd"/>
      <w:r>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对外公布。</w:t>
      </w:r>
    </w:p>
    <w:p w14:paraId="4A4D8FBC"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C8FFD2F"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1.估值对象</w:t>
      </w:r>
    </w:p>
    <w:p w14:paraId="5AF0BE67"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基金所拥有的</w:t>
      </w:r>
      <w:r>
        <w:rPr>
          <w:rFonts w:ascii="彩虹粗仿宋" w:eastAsia="彩虹粗仿宋" w:hAnsi="宋体" w:cs="Arial" w:hint="eastAsia"/>
          <w:sz w:val="24"/>
        </w:rPr>
        <w:t>目标ETF、</w:t>
      </w:r>
      <w:r>
        <w:rPr>
          <w:rFonts w:ascii="彩虹粗仿宋" w:eastAsia="彩虹粗仿宋" w:hAnsi="宋体" w:cs="Arial"/>
          <w:sz w:val="24"/>
        </w:rPr>
        <w:t>股票、债券</w:t>
      </w:r>
      <w:r>
        <w:rPr>
          <w:rFonts w:ascii="彩虹粗仿宋" w:eastAsia="彩虹粗仿宋" w:hAnsi="宋体" w:cs="Arial" w:hint="eastAsia"/>
          <w:sz w:val="24"/>
        </w:rPr>
        <w:t>、股指期货合约、股票期权合约、国债期货合约、资产支持证券、</w:t>
      </w:r>
      <w:r>
        <w:rPr>
          <w:rFonts w:ascii="彩虹粗仿宋" w:eastAsia="彩虹粗仿宋" w:hAnsi="宋体" w:cs="Arial"/>
          <w:sz w:val="24"/>
        </w:rPr>
        <w:t>银行存款本息、应收款项、其</w:t>
      </w:r>
      <w:r>
        <w:rPr>
          <w:rFonts w:ascii="彩虹粗仿宋" w:eastAsia="彩虹粗仿宋" w:hAnsi="宋体" w:cs="Arial" w:hint="eastAsia"/>
          <w:sz w:val="24"/>
        </w:rPr>
        <w:t>他</w:t>
      </w:r>
      <w:r>
        <w:rPr>
          <w:rFonts w:ascii="彩虹粗仿宋" w:eastAsia="彩虹粗仿宋" w:hAnsi="宋体" w:cs="Arial"/>
          <w:sz w:val="24"/>
        </w:rPr>
        <w:t>投资等资产及负债。</w:t>
      </w:r>
    </w:p>
    <w:p w14:paraId="60C55673"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2.估值方法</w:t>
      </w:r>
    </w:p>
    <w:p w14:paraId="0D925C3D"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14:paraId="42E93733"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w:t>
      </w:r>
      <w:r>
        <w:rPr>
          <w:rFonts w:ascii="彩虹粗仿宋" w:eastAsia="彩虹粗仿宋" w:hAnsi="宋体" w:cs="Arial" w:hint="eastAsia"/>
          <w:sz w:val="24"/>
        </w:rPr>
        <w:t>）</w:t>
      </w:r>
      <w:r>
        <w:rPr>
          <w:rFonts w:ascii="彩虹粗仿宋" w:eastAsia="彩虹粗仿宋" w:hAnsi="宋体" w:cs="Arial"/>
          <w:sz w:val="24"/>
        </w:rPr>
        <w:t>证券交易所上市的有价证券的估值</w:t>
      </w:r>
    </w:p>
    <w:p w14:paraId="07F76B5C"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①</w:t>
      </w:r>
      <w:r>
        <w:rPr>
          <w:rFonts w:ascii="彩虹粗仿宋" w:eastAsia="彩虹粗仿宋" w:hAnsi="宋体" w:cs="Arial"/>
          <w:sz w:val="24"/>
        </w:rPr>
        <w:t>交易所上市的有价证券（包括股票等），以其估值日在证券交易所挂牌的市价（收盘价）估值；估值日无交易的，且最近交易日后经济环境未发生重大变化</w:t>
      </w:r>
      <w:r>
        <w:rPr>
          <w:rFonts w:ascii="彩虹粗仿宋" w:eastAsia="彩虹粗仿宋" w:hAnsi="宋体" w:cs="Arial" w:hint="eastAsia"/>
          <w:sz w:val="24"/>
        </w:rPr>
        <w:t>或</w:t>
      </w:r>
      <w:r>
        <w:rPr>
          <w:rFonts w:ascii="彩虹粗仿宋" w:eastAsia="彩虹粗仿宋" w:hAnsi="宋体" w:cs="Arial"/>
          <w:sz w:val="24"/>
        </w:rPr>
        <w:t>证券发行机构未发生影响证券价格的重大事件的，以最近交易日的市价（收盘价）估值；如最近交易日后经济环境发生了重大变化</w:t>
      </w:r>
      <w:r>
        <w:rPr>
          <w:rFonts w:ascii="彩虹粗仿宋" w:eastAsia="彩虹粗仿宋" w:hAnsi="宋体" w:cs="Arial" w:hint="eastAsia"/>
          <w:sz w:val="24"/>
        </w:rPr>
        <w:t>或</w:t>
      </w:r>
      <w:r>
        <w:rPr>
          <w:rFonts w:ascii="彩虹粗仿宋" w:eastAsia="彩虹粗仿宋" w:hAnsi="宋体" w:cs="Arial"/>
          <w:sz w:val="24"/>
        </w:rPr>
        <w:t>证券发行机构发生影响证券价格的重大事件的，可参考类似投资品种的现行市价及重大变化因素，调整最近交易市价，确定公允价格</w:t>
      </w:r>
      <w:r>
        <w:rPr>
          <w:rFonts w:ascii="彩虹粗仿宋" w:eastAsia="彩虹粗仿宋" w:hAnsi="宋体" w:cs="Arial" w:hint="eastAsia"/>
          <w:sz w:val="24"/>
        </w:rPr>
        <w:t>；</w:t>
      </w:r>
    </w:p>
    <w:p w14:paraId="39DE5501"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②</w:t>
      </w:r>
      <w:r>
        <w:rPr>
          <w:rFonts w:ascii="彩虹粗仿宋" w:eastAsia="彩虹粗仿宋" w:hAnsi="宋体" w:cs="Arial"/>
          <w:sz w:val="24"/>
        </w:rPr>
        <w:t>交易所上市交易或挂牌转让的不含</w:t>
      </w:r>
      <w:proofErr w:type="gramStart"/>
      <w:r>
        <w:rPr>
          <w:rFonts w:ascii="彩虹粗仿宋" w:eastAsia="彩虹粗仿宋" w:hAnsi="宋体" w:cs="Arial"/>
          <w:sz w:val="24"/>
        </w:rPr>
        <w:t>权固定</w:t>
      </w:r>
      <w:proofErr w:type="gramEnd"/>
      <w:r>
        <w:rPr>
          <w:rFonts w:ascii="彩虹粗仿宋" w:eastAsia="彩虹粗仿宋" w:hAnsi="宋体" w:cs="Arial"/>
          <w:sz w:val="24"/>
        </w:rPr>
        <w:t>收益品种选取估值日第三方估值机构提供的相应品种当日的估值净价进行估值；</w:t>
      </w:r>
    </w:p>
    <w:p w14:paraId="216FE420"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③</w:t>
      </w:r>
      <w:r>
        <w:rPr>
          <w:rFonts w:ascii="彩虹粗仿宋" w:eastAsia="彩虹粗仿宋" w:hAnsi="宋体" w:cs="Arial"/>
          <w:sz w:val="24"/>
        </w:rPr>
        <w:t>交易所上市交易或挂牌转让的含</w:t>
      </w:r>
      <w:proofErr w:type="gramStart"/>
      <w:r>
        <w:rPr>
          <w:rFonts w:ascii="彩虹粗仿宋" w:eastAsia="彩虹粗仿宋" w:hAnsi="宋体" w:cs="Arial"/>
          <w:sz w:val="24"/>
        </w:rPr>
        <w:t>权固定</w:t>
      </w:r>
      <w:proofErr w:type="gramEnd"/>
      <w:r>
        <w:rPr>
          <w:rFonts w:ascii="彩虹粗仿宋" w:eastAsia="彩虹粗仿宋" w:hAnsi="宋体" w:cs="Arial"/>
          <w:sz w:val="24"/>
        </w:rPr>
        <w:t>收益品种，选取估值日第三方估值机构提供的相应品种当日的唯一估值净价或推荐估值净价进行估值；</w:t>
      </w:r>
    </w:p>
    <w:p w14:paraId="5C8F7484"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④</w:t>
      </w:r>
      <w:r>
        <w:rPr>
          <w:rFonts w:ascii="彩虹粗仿宋" w:eastAsia="彩虹粗仿宋" w:hAnsi="宋体" w:cs="Arial"/>
          <w:sz w:val="24"/>
        </w:rPr>
        <w:t>交易所上市交易的可转换债券</w:t>
      </w:r>
      <w:r>
        <w:rPr>
          <w:rFonts w:ascii="彩虹粗仿宋" w:eastAsia="彩虹粗仿宋" w:hAnsi="宋体" w:cs="Arial" w:hint="eastAsia"/>
          <w:sz w:val="24"/>
        </w:rPr>
        <w:t>以每日收盘价作为估值全价；交易所上市实行全价交易的债券（可转债除外），</w:t>
      </w:r>
      <w:r>
        <w:rPr>
          <w:rFonts w:ascii="彩虹粗仿宋" w:eastAsia="彩虹粗仿宋" w:hAnsi="宋体" w:cs="Arial"/>
          <w:sz w:val="24"/>
        </w:rPr>
        <w:t>选取第三方估值机构提供的估值</w:t>
      </w:r>
      <w:r>
        <w:rPr>
          <w:rFonts w:ascii="彩虹粗仿宋" w:eastAsia="彩虹粗仿宋" w:hAnsi="宋体" w:cs="Arial" w:hint="eastAsia"/>
          <w:sz w:val="24"/>
        </w:rPr>
        <w:t>全价减去</w:t>
      </w:r>
      <w:r>
        <w:rPr>
          <w:rFonts w:ascii="彩虹粗仿宋" w:eastAsia="彩虹粗仿宋" w:hAnsi="宋体" w:cs="Arial"/>
          <w:sz w:val="24"/>
        </w:rPr>
        <w:t>估值</w:t>
      </w:r>
      <w:r>
        <w:rPr>
          <w:rFonts w:ascii="彩虹粗仿宋" w:eastAsia="彩虹粗仿宋" w:hAnsi="宋体" w:cs="Arial" w:hint="eastAsia"/>
          <w:sz w:val="24"/>
        </w:rPr>
        <w:t>全价中所含的债券（税后）应收利息得到的</w:t>
      </w:r>
      <w:r>
        <w:rPr>
          <w:rFonts w:ascii="彩虹粗仿宋" w:eastAsia="彩虹粗仿宋" w:hAnsi="宋体" w:cs="Arial"/>
          <w:sz w:val="24"/>
        </w:rPr>
        <w:t>净价进行估值</w:t>
      </w:r>
      <w:r>
        <w:rPr>
          <w:rFonts w:ascii="彩虹粗仿宋" w:eastAsia="彩虹粗仿宋" w:hAnsi="宋体" w:cs="Arial" w:hint="eastAsia"/>
          <w:sz w:val="24"/>
        </w:rPr>
        <w:t>；</w:t>
      </w:r>
    </w:p>
    <w:p w14:paraId="0675E47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⑤</w:t>
      </w:r>
      <w:r>
        <w:rPr>
          <w:rFonts w:ascii="彩虹粗仿宋" w:eastAsia="彩虹粗仿宋" w:hAnsi="宋体" w:cs="Arial"/>
          <w:sz w:val="24"/>
        </w:rPr>
        <w:t>交易所上市不存在活跃市场的有价证券，采用估值技术确定公允价值。交易所市场挂牌转让的资产支持证券，采用估值技术确定公允价值</w:t>
      </w:r>
      <w:r>
        <w:rPr>
          <w:rFonts w:ascii="彩虹粗仿宋" w:eastAsia="彩虹粗仿宋" w:hAnsi="宋体" w:cs="Arial" w:hint="eastAsia"/>
          <w:sz w:val="24"/>
        </w:rPr>
        <w:t>；</w:t>
      </w:r>
      <w:r>
        <w:rPr>
          <w:rFonts w:ascii="彩虹粗仿宋" w:eastAsia="彩虹粗仿宋" w:hAnsi="宋体" w:cs="Arial" w:hint="eastAsia"/>
          <w:bCs/>
          <w:sz w:val="24"/>
        </w:rPr>
        <w:t>在估值技术难以可靠计量公允价值的情况下，按成本估值</w:t>
      </w:r>
      <w:r>
        <w:rPr>
          <w:rFonts w:ascii="彩虹粗仿宋" w:eastAsia="彩虹粗仿宋" w:hAnsi="宋体" w:cs="Arial" w:hint="eastAsia"/>
          <w:sz w:val="24"/>
        </w:rPr>
        <w:t>。</w:t>
      </w:r>
    </w:p>
    <w:p w14:paraId="73C97985"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⑥</w:t>
      </w:r>
      <w:r>
        <w:rPr>
          <w:rFonts w:ascii="彩虹粗仿宋" w:eastAsia="彩虹粗仿宋" w:hAnsi="宋体" w:cs="Arial"/>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ascii="彩虹粗仿宋" w:eastAsia="彩虹粗仿宋" w:hAnsi="宋体" w:cs="Arial" w:hint="eastAsia"/>
          <w:sz w:val="24"/>
        </w:rPr>
        <w:t>市场活动</w:t>
      </w:r>
      <w:r>
        <w:rPr>
          <w:rFonts w:ascii="彩虹粗仿宋" w:eastAsia="彩虹粗仿宋" w:hAnsi="宋体" w:cs="Arial"/>
          <w:sz w:val="24"/>
        </w:rPr>
        <w:t>或市场活动很少的情况下，应采用估值技术确定其公允价值。</w:t>
      </w:r>
    </w:p>
    <w:p w14:paraId="1347E58B"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处于未上市期间的有价证券应区分如下情况处理：</w:t>
      </w:r>
    </w:p>
    <w:p w14:paraId="483DD3A5"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①</w:t>
      </w:r>
      <w:r>
        <w:rPr>
          <w:rFonts w:ascii="彩虹粗仿宋" w:eastAsia="彩虹粗仿宋" w:hAnsi="宋体" w:cs="Arial"/>
          <w:sz w:val="24"/>
        </w:rPr>
        <w:t>送股、转增股、配股和公开增发的新股，按估值日在证券交易所挂牌的同一股票的估值方法估值；该日无交易的，以最近一日的市价（收盘价）估值；</w:t>
      </w:r>
    </w:p>
    <w:p w14:paraId="06ED4C18"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②</w:t>
      </w:r>
      <w:r>
        <w:rPr>
          <w:rFonts w:ascii="彩虹粗仿宋" w:eastAsia="彩虹粗仿宋" w:hAnsi="宋体" w:cs="Arial"/>
          <w:sz w:val="24"/>
        </w:rPr>
        <w:t>首次公开发行未上市的股票</w:t>
      </w:r>
      <w:r>
        <w:rPr>
          <w:rFonts w:ascii="彩虹粗仿宋" w:eastAsia="彩虹粗仿宋" w:hAnsi="宋体" w:cs="Arial" w:hint="eastAsia"/>
          <w:sz w:val="24"/>
        </w:rPr>
        <w:t>和</w:t>
      </w:r>
      <w:r>
        <w:rPr>
          <w:rFonts w:ascii="彩虹粗仿宋" w:eastAsia="彩虹粗仿宋" w:hAnsi="宋体" w:cs="Arial"/>
          <w:sz w:val="24"/>
        </w:rPr>
        <w:t>债券，采用估值技术确定公允价值，在估值技术难以可靠计量公允价值的情况下，按成本估值</w:t>
      </w:r>
      <w:r>
        <w:rPr>
          <w:rFonts w:ascii="彩虹粗仿宋" w:eastAsia="彩虹粗仿宋" w:hAnsi="宋体" w:cs="Arial" w:hint="eastAsia"/>
          <w:sz w:val="24"/>
        </w:rPr>
        <w:t>；</w:t>
      </w:r>
    </w:p>
    <w:p w14:paraId="588CDE74"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③</w:t>
      </w:r>
      <w:r>
        <w:rPr>
          <w:rFonts w:ascii="彩虹粗仿宋" w:eastAsia="彩虹粗仿宋" w:hAnsi="宋体" w:cs="Arial"/>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sz w:val="24"/>
        </w:rPr>
        <w:t>券</w:t>
      </w:r>
      <w:proofErr w:type="gramEnd"/>
      <w:r>
        <w:rPr>
          <w:rFonts w:ascii="彩虹粗仿宋" w:eastAsia="彩虹粗仿宋" w:hAnsi="宋体" w:cs="Arial"/>
          <w:sz w:val="24"/>
        </w:rPr>
        <w:t>等流通受限股票，按监管机构或行业协会有关规定确定公允价值。</w:t>
      </w:r>
    </w:p>
    <w:p w14:paraId="2F3EE8A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700059"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（4）同一证券同时在两个或者两个以上市场交易的，按证券所处的市场分别估值。</w:t>
      </w:r>
    </w:p>
    <w:p w14:paraId="32CA1A38"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（5）股指期货合约、</w:t>
      </w:r>
      <w:r>
        <w:rPr>
          <w:rFonts w:ascii="彩虹粗仿宋" w:eastAsia="彩虹粗仿宋" w:hAnsi="宋体" w:cs="Arial"/>
          <w:sz w:val="24"/>
        </w:rPr>
        <w:t>国债期货合约</w:t>
      </w:r>
      <w:r>
        <w:rPr>
          <w:rFonts w:ascii="彩虹粗仿宋" w:eastAsia="彩虹粗仿宋" w:hAnsi="宋体" w:cs="Arial" w:hint="eastAsia"/>
          <w:sz w:val="24"/>
        </w:rPr>
        <w:t>以估值当日结算价进行估值，估值当日无结算价的，且最近交易日后经济环境未发生重大变化的，采用最近交易日结算价估值。</w:t>
      </w:r>
    </w:p>
    <w:p w14:paraId="0E5C9F8D"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（6）本基金投资股票期权，根据相关法律法规及监管部门的规定估值。</w:t>
      </w:r>
    </w:p>
    <w:p w14:paraId="1261A97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（7）目标ETF采用估值日该</w:t>
      </w:r>
      <w:proofErr w:type="gramStart"/>
      <w:r>
        <w:rPr>
          <w:rFonts w:ascii="彩虹粗仿宋" w:eastAsia="彩虹粗仿宋" w:hAnsi="宋体" w:cs="Arial" w:hint="eastAsia"/>
          <w:sz w:val="24"/>
        </w:rPr>
        <w:t>基金基金</w:t>
      </w:r>
      <w:proofErr w:type="gramEnd"/>
      <w:r>
        <w:rPr>
          <w:rFonts w:ascii="彩虹粗仿宋" w:eastAsia="彩虹粗仿宋" w:hAnsi="宋体" w:cs="Arial" w:hint="eastAsia"/>
          <w:sz w:val="24"/>
        </w:rPr>
        <w:t>份额净值估值；若估值日为非证券交易所营业日，以该基金最近估值日的基金份额净值估值。</w:t>
      </w:r>
    </w:p>
    <w:p w14:paraId="47AEC10C"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（8）本基金参与</w:t>
      </w:r>
      <w:r>
        <w:rPr>
          <w:rFonts w:ascii="彩虹粗仿宋" w:eastAsia="彩虹粗仿宋" w:hAnsi="宋体" w:cs="Arial"/>
          <w:sz w:val="24"/>
        </w:rPr>
        <w:t>融资及</w:t>
      </w:r>
      <w:r>
        <w:rPr>
          <w:rFonts w:ascii="彩虹粗仿宋" w:eastAsia="彩虹粗仿宋" w:hAnsi="宋体" w:cs="Arial" w:hint="eastAsia"/>
          <w:sz w:val="24"/>
        </w:rPr>
        <w:t>转融通证券出借业务，应参照</w:t>
      </w:r>
      <w:r>
        <w:rPr>
          <w:rFonts w:ascii="彩虹粗仿宋" w:eastAsia="彩虹粗仿宋" w:hAnsi="宋体" w:cs="Arial"/>
          <w:sz w:val="24"/>
        </w:rPr>
        <w:t>监管机构或行业协会</w:t>
      </w:r>
      <w:r>
        <w:rPr>
          <w:rFonts w:ascii="彩虹粗仿宋" w:eastAsia="彩虹粗仿宋" w:hAnsi="宋体" w:cs="Arial" w:hint="eastAsia"/>
          <w:sz w:val="24"/>
        </w:rPr>
        <w:t>的</w:t>
      </w:r>
      <w:r>
        <w:rPr>
          <w:rFonts w:ascii="彩虹粗仿宋" w:eastAsia="彩虹粗仿宋" w:hAnsi="宋体" w:cs="Arial" w:hint="eastAsia"/>
          <w:sz w:val="24"/>
        </w:rPr>
        <w:lastRenderedPageBreak/>
        <w:t>相关规定进行估值，确保估值的公允性。</w:t>
      </w:r>
    </w:p>
    <w:p w14:paraId="1630D782"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（9）</w:t>
      </w:r>
      <w:r>
        <w:rPr>
          <w:rFonts w:ascii="彩虹粗仿宋" w:eastAsia="彩虹粗仿宋" w:hAnsi="宋体" w:cs="Arial"/>
          <w:sz w:val="24"/>
        </w:rPr>
        <w:t>本基金投资存托凭证的估值核算依照境内上市交易的股票执行。</w:t>
      </w:r>
    </w:p>
    <w:p w14:paraId="6AC84A2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（10）</w:t>
      </w:r>
      <w:r>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14:paraId="20D18F4A"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（11）</w:t>
      </w:r>
      <w:r>
        <w:rPr>
          <w:rFonts w:ascii="彩虹粗仿宋" w:eastAsia="彩虹粗仿宋" w:hAnsi="宋体" w:cs="Arial"/>
          <w:sz w:val="24"/>
        </w:rPr>
        <w:t>当发生大额申购或赎回情形时，基金管理人可以采用摆动定价机制，以确保基金估值的公平性。</w:t>
      </w:r>
    </w:p>
    <w:p w14:paraId="2272CA8C"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（12）</w:t>
      </w:r>
      <w:r>
        <w:rPr>
          <w:rFonts w:ascii="彩虹粗仿宋" w:eastAsia="彩虹粗仿宋" w:hAnsi="宋体" w:cs="Arial"/>
          <w:sz w:val="24"/>
        </w:rPr>
        <w:t>相关法律法规以及监管部门有强制规定的，从其规定。如有新增事项，按国家最新规定估值。</w:t>
      </w:r>
    </w:p>
    <w:p w14:paraId="28D12D5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C4F2DD"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根据有关法律法规，基金净值</w:t>
      </w:r>
      <w:r>
        <w:rPr>
          <w:rFonts w:ascii="彩虹粗仿宋" w:eastAsia="彩虹粗仿宋" w:hAnsi="宋体" w:cs="Arial" w:hint="eastAsia"/>
          <w:sz w:val="24"/>
        </w:rPr>
        <w:t>信息</w:t>
      </w:r>
      <w:r>
        <w:rPr>
          <w:rFonts w:ascii="彩虹粗仿宋" w:eastAsia="彩虹粗仿宋" w:hAnsi="宋体" w:cs="Arial"/>
          <w:sz w:val="24"/>
        </w:rPr>
        <w:t>计算和基金会计核算的义务由基金管理人承担。本基金的基金会计责任方由基金管理人担任，因此，就与本基金有关的会计问题，如经相关各方在平等基础上充分讨论后，仍无法达成一致的意见，</w:t>
      </w:r>
      <w:r>
        <w:rPr>
          <w:rFonts w:ascii="彩虹粗仿宋" w:eastAsia="彩虹粗仿宋" w:hAnsi="宋体" w:cs="Arial" w:hint="eastAsia"/>
          <w:sz w:val="24"/>
        </w:rPr>
        <w:t>基金管理人向基金托管人出具加盖公章的书面说明后，</w:t>
      </w:r>
      <w:r>
        <w:rPr>
          <w:rFonts w:ascii="彩虹粗仿宋" w:eastAsia="彩虹粗仿宋" w:hAnsi="宋体" w:cs="Arial"/>
          <w:sz w:val="24"/>
        </w:rPr>
        <w:t>按照基金管理人对基金净值</w:t>
      </w:r>
      <w:r>
        <w:rPr>
          <w:rFonts w:ascii="彩虹粗仿宋" w:eastAsia="彩虹粗仿宋" w:hAnsi="宋体" w:cs="Arial" w:hint="eastAsia"/>
          <w:sz w:val="24"/>
        </w:rPr>
        <w:t>信息</w:t>
      </w:r>
      <w:r>
        <w:rPr>
          <w:rFonts w:ascii="彩虹粗仿宋" w:eastAsia="彩虹粗仿宋" w:hAnsi="宋体" w:cs="Arial"/>
          <w:sz w:val="24"/>
        </w:rPr>
        <w:t>的计算结果对外予以公布。</w:t>
      </w:r>
    </w:p>
    <w:p w14:paraId="4DA5F215" w14:textId="77777777" w:rsidR="004763B4" w:rsidRDefault="000832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期间的基金资产估值</w:t>
      </w:r>
    </w:p>
    <w:p w14:paraId="7244FBBF" w14:textId="77777777" w:rsidR="004763B4" w:rsidRDefault="000832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的，应根据本部分的约定</w:t>
      </w:r>
      <w:proofErr w:type="gramStart"/>
      <w:r>
        <w:rPr>
          <w:rFonts w:ascii="彩虹粗仿宋" w:eastAsia="彩虹粗仿宋" w:hAnsi="宋体" w:cs="Arial" w:hint="eastAsia"/>
          <w:sz w:val="24"/>
        </w:rPr>
        <w:t>对主袋账户</w:t>
      </w:r>
      <w:proofErr w:type="gramEnd"/>
      <w:r>
        <w:rPr>
          <w:rFonts w:ascii="彩虹粗仿宋" w:eastAsia="彩虹粗仿宋" w:hAnsi="宋体" w:cs="Arial" w:hint="eastAsia"/>
          <w:sz w:val="24"/>
        </w:rPr>
        <w:t>资产进行估值并</w:t>
      </w:r>
      <w:proofErr w:type="gramStart"/>
      <w:r>
        <w:rPr>
          <w:rFonts w:ascii="彩虹粗仿宋" w:eastAsia="彩虹粗仿宋" w:hAnsi="宋体" w:cs="Arial" w:hint="eastAsia"/>
          <w:sz w:val="24"/>
        </w:rPr>
        <w:t>披露主袋账户</w:t>
      </w:r>
      <w:proofErr w:type="gramEnd"/>
      <w:r>
        <w:rPr>
          <w:rFonts w:ascii="彩虹粗仿宋" w:eastAsia="彩虹粗仿宋" w:hAnsi="宋体" w:cs="Arial" w:hint="eastAsia"/>
          <w:sz w:val="24"/>
        </w:rPr>
        <w:t>的基金份额净值，暂停</w:t>
      </w:r>
      <w:proofErr w:type="gramStart"/>
      <w:r>
        <w:rPr>
          <w:rFonts w:ascii="彩虹粗仿宋" w:eastAsia="彩虹粗仿宋" w:hAnsi="宋体" w:cs="Arial" w:hint="eastAsia"/>
          <w:sz w:val="24"/>
        </w:rPr>
        <w:t>披露侧袋账户</w:t>
      </w:r>
      <w:proofErr w:type="gramEnd"/>
      <w:r>
        <w:rPr>
          <w:rFonts w:ascii="彩虹粗仿宋" w:eastAsia="彩虹粗仿宋" w:hAnsi="宋体" w:cs="Arial" w:hint="eastAsia"/>
          <w:sz w:val="24"/>
        </w:rPr>
        <w:t>的基金份额净值。</w:t>
      </w:r>
    </w:p>
    <w:p w14:paraId="5B7AD2B5"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4.特殊情形的处理</w:t>
      </w:r>
    </w:p>
    <w:p w14:paraId="11F26191"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（1）基金管理人或基金托管人按估值方法的第（10）项进行估值时，所造成的误差不作为基金资产估值错误处理；</w:t>
      </w:r>
    </w:p>
    <w:p w14:paraId="1A95BC2A"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（2）由于不可抗力，或证券、期货交易所、登记结算公司发送的数据错误，或国家会计政策变更、市场规则变更等</w:t>
      </w:r>
      <w:proofErr w:type="gramStart"/>
      <w:r>
        <w:rPr>
          <w:rFonts w:ascii="彩虹粗仿宋" w:eastAsia="彩虹粗仿宋" w:hAnsi="宋体" w:cs="Arial" w:hint="eastAsia"/>
          <w:sz w:val="24"/>
        </w:rPr>
        <w:t>非基金</w:t>
      </w:r>
      <w:proofErr w:type="gramEnd"/>
      <w:r>
        <w:rPr>
          <w:rFonts w:ascii="彩虹粗仿宋" w:eastAsia="彩虹粗仿宋" w:hAnsi="宋体" w:cs="Arial" w:hint="eastAsia"/>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87"/>
    </w:p>
    <w:p w14:paraId="7D604B7B"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723C9EAC"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w:t>
      </w:r>
      <w:r>
        <w:rPr>
          <w:rFonts w:ascii="彩虹粗仿宋" w:eastAsia="彩虹粗仿宋" w:hAnsi="宋体" w:cs="Arial" w:hint="eastAsia"/>
          <w:sz w:val="24"/>
        </w:rPr>
        <w:lastRenderedPageBreak/>
        <w:t>到基金份额净值的0.5%时，基金管理人应当公告，</w:t>
      </w:r>
      <w:r>
        <w:rPr>
          <w:rFonts w:ascii="彩虹粗仿宋" w:eastAsia="彩虹粗仿宋" w:hAnsi="宋体" w:cs="Arial"/>
          <w:sz w:val="24"/>
        </w:rPr>
        <w:t>并报中国证监会备案</w:t>
      </w:r>
      <w:r>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1AA02964"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0D60B361"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1CE3FBE"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0703C01"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CBAE65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923EB6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14:paraId="020BA18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14:paraId="13412F6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46C38CE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w:t>
      </w:r>
      <w:r>
        <w:rPr>
          <w:rFonts w:ascii="彩虹粗仿宋" w:eastAsia="彩虹粗仿宋" w:hAnsi="宋体" w:cs="Arial"/>
          <w:sz w:val="24"/>
        </w:rPr>
        <w:t>基金投资所涉及的证券</w:t>
      </w:r>
      <w:r>
        <w:rPr>
          <w:rFonts w:ascii="彩虹粗仿宋" w:eastAsia="彩虹粗仿宋" w:hAnsi="宋体" w:cs="Arial" w:hint="eastAsia"/>
          <w:sz w:val="24"/>
        </w:rPr>
        <w:t>、期货</w:t>
      </w:r>
      <w:r>
        <w:rPr>
          <w:rFonts w:ascii="彩虹粗仿宋" w:eastAsia="彩虹粗仿宋" w:hAnsi="宋体" w:cs="Arial"/>
          <w:sz w:val="24"/>
        </w:rPr>
        <w:t>交易市场遇法定节假日或因其他原因暂停营业时；</w:t>
      </w:r>
    </w:p>
    <w:p w14:paraId="57027E7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w:t>
      </w:r>
      <w:r>
        <w:rPr>
          <w:rFonts w:ascii="彩虹粗仿宋" w:eastAsia="彩虹粗仿宋" w:hAnsi="宋体" w:cs="Arial"/>
          <w:sz w:val="24"/>
        </w:rPr>
        <w:t>因不可抗力</w:t>
      </w:r>
      <w:r>
        <w:rPr>
          <w:rFonts w:ascii="彩虹粗仿宋" w:eastAsia="彩虹粗仿宋" w:hAnsi="宋体" w:cs="Arial" w:hint="eastAsia"/>
          <w:sz w:val="24"/>
        </w:rPr>
        <w:t>或其他情形</w:t>
      </w:r>
      <w:r>
        <w:rPr>
          <w:rFonts w:ascii="彩虹粗仿宋" w:eastAsia="彩虹粗仿宋" w:hAnsi="宋体" w:cs="Arial"/>
          <w:sz w:val="24"/>
        </w:rPr>
        <w:t>致使基金管理人、基金托管人无法准确评估基金资产价值时；</w:t>
      </w:r>
    </w:p>
    <w:p w14:paraId="15BBA78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基金所投资的目标 ETF 发生暂停估值、暂停公告基金份额净值的情形</w:t>
      </w:r>
      <w:r>
        <w:rPr>
          <w:rFonts w:ascii="彩虹粗仿宋" w:eastAsia="彩虹粗仿宋" w:hAnsi="宋体" w:cs="Arial" w:hint="eastAsia"/>
          <w:sz w:val="24"/>
        </w:rPr>
        <w:t>；</w:t>
      </w:r>
    </w:p>
    <w:p w14:paraId="5B16B44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4.当特定资产占前一估值日基金资产净值50%以上的，经与基金托管人协商</w:t>
      </w:r>
      <w:r>
        <w:rPr>
          <w:rFonts w:ascii="彩虹粗仿宋" w:eastAsia="彩虹粗仿宋" w:hAnsi="宋体" w:cs="Arial" w:hint="eastAsia"/>
          <w:sz w:val="24"/>
        </w:rPr>
        <w:lastRenderedPageBreak/>
        <w:t>确认</w:t>
      </w:r>
      <w:r>
        <w:rPr>
          <w:rFonts w:ascii="彩虹粗仿宋" w:eastAsia="彩虹粗仿宋" w:hAnsi="宋体" w:cs="Arial"/>
          <w:sz w:val="24"/>
        </w:rPr>
        <w:t>后</w:t>
      </w:r>
      <w:r>
        <w:rPr>
          <w:rFonts w:ascii="彩虹粗仿宋" w:eastAsia="彩虹粗仿宋" w:hAnsi="宋体" w:cs="Arial" w:hint="eastAsia"/>
          <w:sz w:val="24"/>
        </w:rPr>
        <w:t>，基金管理人应当暂停估值；</w:t>
      </w:r>
    </w:p>
    <w:p w14:paraId="110E86D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中国证监会和基金合同认定的其</w:t>
      </w:r>
      <w:r>
        <w:rPr>
          <w:rFonts w:ascii="彩虹粗仿宋" w:eastAsia="彩虹粗仿宋" w:hAnsi="宋体" w:cs="Arial" w:hint="eastAsia"/>
          <w:sz w:val="24"/>
        </w:rPr>
        <w:t>他</w:t>
      </w:r>
      <w:r>
        <w:rPr>
          <w:rFonts w:ascii="彩虹粗仿宋" w:eastAsia="彩虹粗仿宋" w:hAnsi="宋体" w:cs="Arial"/>
          <w:sz w:val="24"/>
        </w:rPr>
        <w:t>情形。</w:t>
      </w:r>
    </w:p>
    <w:p w14:paraId="7556F24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14:paraId="2398FB9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EF87E1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14:paraId="5E09EE9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3E137744"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0BD3461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14:paraId="4333D64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36AFAB3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14:paraId="0C4960B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610E5C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14B3F0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14:paraId="3EBE03F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14:paraId="1AAB6125" w14:textId="77777777" w:rsidR="004763B4" w:rsidRDefault="000832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3BBA86C8" w14:textId="77777777" w:rsidR="004763B4" w:rsidRDefault="000832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DD1854A" w14:textId="77777777" w:rsidR="004763B4" w:rsidRDefault="000832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69F35188" w14:textId="77777777" w:rsidR="004763B4" w:rsidRDefault="0008326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368BACBE" w14:textId="77777777" w:rsidR="004763B4" w:rsidRDefault="004763B4">
      <w:pPr>
        <w:pStyle w:val="a0"/>
        <w:adjustRightInd w:val="0"/>
        <w:snapToGrid w:val="0"/>
        <w:ind w:firstLine="480"/>
        <w:rPr>
          <w:rFonts w:ascii="彩虹粗仿宋" w:eastAsia="彩虹粗仿宋" w:hAnsi="宋体" w:cs="Arial"/>
          <w:sz w:val="24"/>
        </w:rPr>
      </w:pPr>
    </w:p>
    <w:p w14:paraId="276EC2CD" w14:textId="77777777" w:rsidR="004763B4" w:rsidRDefault="00083262">
      <w:pPr>
        <w:pStyle w:val="2"/>
        <w:jc w:val="center"/>
        <w:rPr>
          <w:rFonts w:ascii="彩虹粗仿宋" w:eastAsia="彩虹粗仿宋"/>
          <w:sz w:val="30"/>
        </w:rPr>
      </w:pPr>
      <w:bookmarkStart w:id="88" w:name="_Toc124325893"/>
      <w:r>
        <w:rPr>
          <w:rFonts w:ascii="彩虹粗仿宋" w:eastAsia="彩虹粗仿宋" w:hint="eastAsia"/>
          <w:sz w:val="30"/>
        </w:rPr>
        <w:lastRenderedPageBreak/>
        <w:t>九、基金收益分配</w:t>
      </w:r>
      <w:bookmarkEnd w:id="88"/>
    </w:p>
    <w:p w14:paraId="5F33FAC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682888F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761C7D4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w:t>
      </w:r>
      <w:r>
        <w:rPr>
          <w:rFonts w:ascii="彩虹粗仿宋" w:eastAsia="彩虹粗仿宋" w:hAnsi="宋体" w:cs="Arial"/>
          <w:sz w:val="24"/>
        </w:rPr>
        <w:t>在符合有关基金分红条件的前提下，基金管理人可以根据实际情况进行收益分配，具体分配方案以公告为准，</w:t>
      </w:r>
      <w:proofErr w:type="gramStart"/>
      <w:r>
        <w:rPr>
          <w:rFonts w:ascii="彩虹粗仿宋" w:eastAsia="彩虹粗仿宋" w:hAnsi="宋体" w:cs="Arial"/>
          <w:sz w:val="24"/>
        </w:rPr>
        <w:t>若基金</w:t>
      </w:r>
      <w:proofErr w:type="gramEnd"/>
      <w:r>
        <w:rPr>
          <w:rFonts w:ascii="彩虹粗仿宋" w:eastAsia="彩虹粗仿宋" w:hAnsi="宋体" w:cs="Arial"/>
          <w:sz w:val="24"/>
        </w:rPr>
        <w:t>合同生效不满</w:t>
      </w:r>
      <w:r>
        <w:rPr>
          <w:rFonts w:ascii="彩虹粗仿宋" w:eastAsia="彩虹粗仿宋" w:hAnsi="宋体" w:cs="Arial" w:hint="eastAsia"/>
          <w:sz w:val="24"/>
        </w:rPr>
        <w:t>3</w:t>
      </w:r>
      <w:r>
        <w:rPr>
          <w:rFonts w:ascii="彩虹粗仿宋" w:eastAsia="彩虹粗仿宋" w:hAnsi="宋体" w:cs="Arial"/>
          <w:sz w:val="24"/>
        </w:rPr>
        <w:t>个月可不进行收益分配；</w:t>
      </w:r>
    </w:p>
    <w:p w14:paraId="3DFEA9B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2.本基金各基金份额类别在费用收取上不同，其对应的可分配收益可能有所不同</w:t>
      </w:r>
      <w:r>
        <w:rPr>
          <w:rFonts w:ascii="彩虹粗仿宋" w:eastAsia="彩虹粗仿宋" w:hAnsi="宋体" w:cs="Arial"/>
          <w:sz w:val="24"/>
        </w:rPr>
        <w:t>；</w:t>
      </w:r>
      <w:r>
        <w:rPr>
          <w:rFonts w:ascii="彩虹粗仿宋" w:eastAsia="彩虹粗仿宋" w:hAnsi="宋体" w:cs="Arial" w:hint="eastAsia"/>
          <w:sz w:val="24"/>
        </w:rPr>
        <w:t>本基金同一类别的每一</w:t>
      </w:r>
      <w:r>
        <w:rPr>
          <w:rFonts w:ascii="彩虹粗仿宋" w:eastAsia="彩虹粗仿宋" w:hAnsi="宋体" w:cs="Arial"/>
          <w:sz w:val="24"/>
        </w:rPr>
        <w:t>基金份额享有同等分配权</w:t>
      </w:r>
      <w:r>
        <w:rPr>
          <w:rFonts w:ascii="彩虹粗仿宋" w:eastAsia="彩虹粗仿宋" w:hAnsi="宋体" w:cs="Arial" w:hint="eastAsia"/>
          <w:sz w:val="24"/>
        </w:rPr>
        <w:t>；</w:t>
      </w:r>
    </w:p>
    <w:p w14:paraId="6DC1AFD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Pr>
          <w:rFonts w:ascii="彩虹粗仿宋" w:eastAsia="彩虹粗仿宋" w:hAnsi="宋体" w:cs="Arial"/>
          <w:sz w:val="24"/>
        </w:rPr>
        <w:t>本基金收益分配方式分两种：现金分红与红利再投资，投资者可选择现金红利或将现金红利</w:t>
      </w:r>
      <w:r>
        <w:rPr>
          <w:rFonts w:ascii="彩虹粗仿宋" w:eastAsia="彩虹粗仿宋" w:hAnsi="宋体" w:cs="Arial" w:hint="eastAsia"/>
          <w:sz w:val="24"/>
        </w:rPr>
        <w:t>按照除权除息日的该类别基金份额净值</w:t>
      </w:r>
      <w:r>
        <w:rPr>
          <w:rFonts w:ascii="彩虹粗仿宋" w:eastAsia="彩虹粗仿宋" w:hAnsi="宋体" w:cs="Arial"/>
          <w:sz w:val="24"/>
        </w:rPr>
        <w:t>自动转为</w:t>
      </w:r>
      <w:r>
        <w:rPr>
          <w:rFonts w:ascii="彩虹粗仿宋" w:eastAsia="彩虹粗仿宋" w:hAnsi="宋体" w:cs="Arial" w:hint="eastAsia"/>
          <w:sz w:val="24"/>
        </w:rPr>
        <w:t>相应类别的</w:t>
      </w:r>
      <w:r>
        <w:rPr>
          <w:rFonts w:ascii="彩虹粗仿宋" w:eastAsia="彩虹粗仿宋" w:hAnsi="宋体" w:cs="Arial"/>
          <w:sz w:val="24"/>
        </w:rPr>
        <w:t>基金份额进行再投资；若投资者不选择，本基金默认的收益分配方式是现金分红；</w:t>
      </w:r>
    </w:p>
    <w:p w14:paraId="3A82B2B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法律法规或监管机关另有规定的，从其规定。</w:t>
      </w:r>
    </w:p>
    <w:p w14:paraId="430E6BD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1B4C301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依照《信息披露办法》的有关规定在规定媒介公告。基金收益分配方案中应载明基金超额收益、基金收益分配对象、分配时间、分配数额及比例、分配方式等内容。基金收益分配方案公告后(依据具体方案的规定)，基金管理人就支付的现金红利向基金托管人发送划款指令，基金托管人按照基金管理人的指令及时进行分红资金的划付。</w:t>
      </w:r>
    </w:p>
    <w:p w14:paraId="54DE789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w:t>
      </w:r>
      <w:r>
        <w:rPr>
          <w:rFonts w:ascii="彩虹粗仿宋" w:eastAsia="彩虹粗仿宋" w:hAnsi="宋体" w:cs="Arial"/>
          <w:sz w:val="24"/>
        </w:rPr>
        <w:t>当投资者的现金红利小于一定金额，不足</w:t>
      </w:r>
      <w:r>
        <w:rPr>
          <w:rFonts w:ascii="彩虹粗仿宋" w:eastAsia="彩虹粗仿宋" w:hAnsi="宋体" w:cs="Arial" w:hint="eastAsia"/>
          <w:sz w:val="24"/>
        </w:rPr>
        <w:t>以</w:t>
      </w:r>
      <w:r>
        <w:rPr>
          <w:rFonts w:ascii="彩虹粗仿宋" w:eastAsia="彩虹粗仿宋" w:hAnsi="宋体" w:cs="Arial"/>
          <w:sz w:val="24"/>
        </w:rPr>
        <w:t>支付银行转账或其他手续费用时，基金登记机构可将基金份额持有人的现金红利自动转为</w:t>
      </w:r>
      <w:r>
        <w:rPr>
          <w:rFonts w:ascii="彩虹粗仿宋" w:eastAsia="彩虹粗仿宋" w:hAnsi="宋体" w:cs="Arial" w:hint="eastAsia"/>
          <w:sz w:val="24"/>
        </w:rPr>
        <w:t>相应类别的</w:t>
      </w:r>
      <w:r>
        <w:rPr>
          <w:rFonts w:ascii="彩虹粗仿宋" w:eastAsia="彩虹粗仿宋" w:hAnsi="宋体" w:cs="Arial"/>
          <w:sz w:val="24"/>
        </w:rPr>
        <w:t>基金份额。红利再投资的计算方法，依照《业务规则》执行。</w:t>
      </w:r>
    </w:p>
    <w:p w14:paraId="75C416B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期间的收益分配</w:t>
      </w:r>
    </w:p>
    <w:p w14:paraId="7EA81B4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不进行收益分配。</w:t>
      </w:r>
    </w:p>
    <w:p w14:paraId="122A9669" w14:textId="77777777" w:rsidR="004763B4" w:rsidRDefault="004763B4">
      <w:pPr>
        <w:adjustRightInd w:val="0"/>
        <w:snapToGrid w:val="0"/>
        <w:rPr>
          <w:rFonts w:ascii="彩虹粗仿宋" w:eastAsia="彩虹粗仿宋" w:hAnsi="宋体" w:cs="Arial"/>
          <w:sz w:val="24"/>
        </w:rPr>
      </w:pPr>
    </w:p>
    <w:p w14:paraId="06D8EF1F" w14:textId="77777777" w:rsidR="004763B4" w:rsidRDefault="00083262">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4B5A3BD9"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14:paraId="5FB6C78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2115BC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1.非因基金管理人和基金托管人的原因导致保密信息被披露、泄露或公开；</w:t>
      </w:r>
    </w:p>
    <w:p w14:paraId="6EFA19E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BBFEF5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5D4D86F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参与融资交易和转融通证券出借业务的信息披露、投资股指期货</w:t>
      </w:r>
      <w:r>
        <w:rPr>
          <w:rFonts w:ascii="彩虹粗仿宋" w:eastAsia="彩虹粗仿宋" w:hAnsi="宋体" w:cs="Arial"/>
          <w:sz w:val="24"/>
        </w:rPr>
        <w:t>的</w:t>
      </w:r>
      <w:r>
        <w:rPr>
          <w:rFonts w:ascii="彩虹粗仿宋" w:eastAsia="彩虹粗仿宋" w:hAnsi="宋体" w:cs="Arial" w:hint="eastAsia"/>
          <w:sz w:val="24"/>
        </w:rPr>
        <w:t>信息披露、投资股票期权的信息披露、投资国债期货的信息披露、投资资产支持证券的信息披露、实施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期间的信息披露、中国证监会规定的其他信息。基金年度报告中的财务会计报告需</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《中华人民共和国证券法》规定的会计师事务所审计后，方可披露。</w:t>
      </w:r>
    </w:p>
    <w:p w14:paraId="023E971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3636B7B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C323B4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5E18D6D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79F65A2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AED93E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基金管理人、基金托管人应当在规定媒介披露本基金信息。基金管理人、基金托管人应当向中国证监会基金电子披露网站报送拟披露的基金信息，并保证相关报送信息的真实、准确、完整、及时。</w:t>
      </w:r>
    </w:p>
    <w:p w14:paraId="074F3FE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06539C6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0A3A4D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(2)发生暂停估值的情形；</w:t>
      </w:r>
    </w:p>
    <w:p w14:paraId="30F8616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14:paraId="43BE030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6B866C5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1EF664A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800CA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法必须披露的信息发布后，基金管理人、基金托管人应当按照相关法律法规规定将信息置备于公司住所，供社会公众免费查阅。投资者在支付工本费后可在合理时间获得上述文件的复制件或复印件。基金管理人和基金托管人应保证文本的内容与所公告的内容完全一致。</w:t>
      </w:r>
    </w:p>
    <w:p w14:paraId="6471F5B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（四）本协议下基金的信息披露事项以法律法规规定、基金合同“第十八部分 基金的信息披露”及本章节约定的内容为准。</w:t>
      </w:r>
    </w:p>
    <w:p w14:paraId="02EBB344" w14:textId="77777777" w:rsidR="004763B4" w:rsidRDefault="004763B4">
      <w:pPr>
        <w:pStyle w:val="a0"/>
        <w:ind w:firstLineChars="0" w:firstLine="0"/>
        <w:rPr>
          <w:rFonts w:ascii="彩虹粗仿宋" w:eastAsia="彩虹粗仿宋" w:hAnsi="宋体" w:cs="Arial"/>
          <w:sz w:val="24"/>
        </w:rPr>
      </w:pPr>
    </w:p>
    <w:p w14:paraId="2748E603" w14:textId="77777777" w:rsidR="004763B4" w:rsidRDefault="00083262">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32ACBE4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由于本基金管理人和本基金托管人同时为目标ETF的基金管理人与基金托管人，为避免重复收费，本基金管理人与本基金托管人对本基金财产投资于目标ETF的部分不收取管理费、托管费。</w:t>
      </w:r>
    </w:p>
    <w:p w14:paraId="280DB68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31209DC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本基金的管理费按前一日基金资产净值的0.50%年费率计提。管理费的计算方法如下：</w:t>
      </w:r>
    </w:p>
    <w:p w14:paraId="4B52C13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0CB9C4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5E37DB5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E为调整</w:t>
      </w:r>
      <w:r>
        <w:rPr>
          <w:rFonts w:ascii="彩虹粗仿宋" w:eastAsia="彩虹粗仿宋" w:hAnsi="宋体" w:cs="Arial"/>
          <w:sz w:val="24"/>
        </w:rPr>
        <w:t>后的</w:t>
      </w:r>
      <w:r>
        <w:rPr>
          <w:rFonts w:ascii="彩虹粗仿宋" w:eastAsia="彩虹粗仿宋" w:hAnsi="宋体" w:cs="Arial" w:hint="eastAsia"/>
          <w:sz w:val="24"/>
        </w:rPr>
        <w:t>前一日的基金资产净值。</w:t>
      </w:r>
      <w:r>
        <w:rPr>
          <w:rFonts w:ascii="彩虹粗仿宋" w:eastAsia="彩虹粗仿宋" w:hAnsi="宋体" w:cs="Arial"/>
          <w:sz w:val="24"/>
        </w:rPr>
        <w:t>调整后的前一日基金资产净值＝前一日基金资产净值－本基金持有的华泰柏瑞上证</w:t>
      </w:r>
      <w:proofErr w:type="gramStart"/>
      <w:r>
        <w:rPr>
          <w:rFonts w:ascii="彩虹粗仿宋" w:eastAsia="彩虹粗仿宋" w:hAnsi="宋体" w:cs="Arial"/>
          <w:sz w:val="24"/>
        </w:rPr>
        <w:t>科创板</w:t>
      </w:r>
      <w:proofErr w:type="gramEnd"/>
      <w:r>
        <w:rPr>
          <w:rFonts w:ascii="彩虹粗仿宋" w:eastAsia="彩虹粗仿宋" w:hAnsi="宋体" w:cs="Arial"/>
          <w:sz w:val="24"/>
        </w:rPr>
        <w:t>50成份ETF前一日公允价值，金额为负时以零计。</w:t>
      </w:r>
    </w:p>
    <w:p w14:paraId="1FE74AC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072BFBB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本基金的托管费按前一日基金资产净值的0.10%年费率计提。托管费的计算方法如下：</w:t>
      </w:r>
    </w:p>
    <w:p w14:paraId="3D64BCB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5CA9013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5AA0660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E为调整</w:t>
      </w:r>
      <w:r>
        <w:rPr>
          <w:rFonts w:ascii="彩虹粗仿宋" w:eastAsia="彩虹粗仿宋" w:hAnsi="宋体" w:cs="Arial"/>
          <w:sz w:val="24"/>
        </w:rPr>
        <w:t>后的</w:t>
      </w:r>
      <w:r>
        <w:rPr>
          <w:rFonts w:ascii="彩虹粗仿宋" w:eastAsia="彩虹粗仿宋" w:hAnsi="宋体" w:cs="Arial" w:hint="eastAsia"/>
          <w:sz w:val="24"/>
        </w:rPr>
        <w:t>前一日的基金资产净值。</w:t>
      </w:r>
      <w:r>
        <w:rPr>
          <w:rFonts w:ascii="彩虹粗仿宋" w:eastAsia="彩虹粗仿宋" w:hAnsi="宋体" w:cs="Arial"/>
          <w:sz w:val="24"/>
        </w:rPr>
        <w:t>调整后的前一日基金资产净值＝前一日基金资产净值－本基金持有的华泰柏瑞上证</w:t>
      </w:r>
      <w:proofErr w:type="gramStart"/>
      <w:r>
        <w:rPr>
          <w:rFonts w:ascii="彩虹粗仿宋" w:eastAsia="彩虹粗仿宋" w:hAnsi="宋体" w:cs="Arial"/>
          <w:sz w:val="24"/>
        </w:rPr>
        <w:t>科创板</w:t>
      </w:r>
      <w:proofErr w:type="gramEnd"/>
      <w:r>
        <w:rPr>
          <w:rFonts w:ascii="彩虹粗仿宋" w:eastAsia="彩虹粗仿宋" w:hAnsi="宋体" w:cs="Arial"/>
          <w:sz w:val="24"/>
        </w:rPr>
        <w:t>50成份ETF前一日公允价值，金额为负时以零计。</w:t>
      </w:r>
    </w:p>
    <w:p w14:paraId="5678277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（三）销售服务费的计提比例和计提方法</w:t>
      </w:r>
    </w:p>
    <w:p w14:paraId="5A8DD34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本基金A类基金份额不收取销售服务费，C类基金份额的销售服务费按前一日C类基金资产净值的0.25%年费率计提。计算方法如下：</w:t>
      </w:r>
    </w:p>
    <w:p w14:paraId="0DEFDBC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H＝E</w:t>
      </w:r>
      <w:r>
        <w:rPr>
          <w:rFonts w:ascii="彩虹粗仿宋" w:eastAsia="彩虹粗仿宋" w:hAnsi="宋体" w:cs="Arial"/>
          <w:sz w:val="24"/>
        </w:rPr>
        <w:t>×</w:t>
      </w:r>
      <w:r>
        <w:rPr>
          <w:rFonts w:ascii="彩虹粗仿宋" w:eastAsia="彩虹粗仿宋" w:hAnsi="宋体" w:cs="Arial" w:hint="eastAsia"/>
          <w:sz w:val="24"/>
        </w:rPr>
        <w:t>年销售服务费率</w:t>
      </w:r>
      <w:r>
        <w:rPr>
          <w:rFonts w:ascii="彩虹粗仿宋" w:eastAsia="彩虹粗仿宋" w:hAnsi="宋体" w:cs="Arial"/>
          <w:sz w:val="24"/>
        </w:rPr>
        <w:t>÷</w:t>
      </w:r>
      <w:r>
        <w:rPr>
          <w:rFonts w:ascii="彩虹粗仿宋" w:eastAsia="彩虹粗仿宋" w:hAnsi="宋体" w:cs="Arial"/>
          <w:sz w:val="24"/>
        </w:rPr>
        <w:t>当年天数</w:t>
      </w:r>
    </w:p>
    <w:p w14:paraId="45CE707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H为</w:t>
      </w:r>
      <w:r>
        <w:rPr>
          <w:rFonts w:ascii="彩虹粗仿宋" w:eastAsia="彩虹粗仿宋" w:hAnsi="宋体" w:cs="Arial" w:hint="eastAsia"/>
          <w:sz w:val="24"/>
        </w:rPr>
        <w:t>每日应计提的C类基金份额销售服务费</w:t>
      </w:r>
    </w:p>
    <w:p w14:paraId="1BBCD6D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E为</w:t>
      </w:r>
      <w:r>
        <w:rPr>
          <w:rFonts w:ascii="彩虹粗仿宋" w:eastAsia="彩虹粗仿宋" w:hAnsi="宋体" w:cs="Arial" w:hint="eastAsia"/>
          <w:sz w:val="24"/>
        </w:rPr>
        <w:t>前一日的C类基金份额的基金资产净值</w:t>
      </w:r>
    </w:p>
    <w:p w14:paraId="368B325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账户开户费用、投资标的交易费用、基金财产划拨支付的银行费用、账户维护费、《基金合同》生效后与基金相关的信息披露费用、基金份额持有人大会费用、《基金合同》生效后与基金有关的会计师费、律师费、仲裁费和诉讼费等根据有关法律法规、《基金合同》及相应协议的规定，列入当期基金费用，但法律法规、中国证监会另有规定的除外。</w:t>
      </w:r>
    </w:p>
    <w:p w14:paraId="15167EC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（五）不列入基金费用的项目</w:t>
      </w:r>
    </w:p>
    <w:p w14:paraId="1B0A965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下列费用不列入基金费用：</w:t>
      </w:r>
    </w:p>
    <w:p w14:paraId="0035B59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w:t>
      </w:r>
      <w:r>
        <w:rPr>
          <w:rFonts w:ascii="彩虹粗仿宋" w:eastAsia="彩虹粗仿宋" w:hAnsi="宋体" w:cs="Arial"/>
          <w:sz w:val="24"/>
        </w:rPr>
        <w:t>基金管理人和基金托管人因未履行或未完全履行义务导致的费用支出或基金财产的损失；</w:t>
      </w:r>
    </w:p>
    <w:p w14:paraId="27830CC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w:t>
      </w:r>
      <w:r>
        <w:rPr>
          <w:rFonts w:ascii="彩虹粗仿宋" w:eastAsia="彩虹粗仿宋" w:hAnsi="宋体" w:cs="Arial"/>
          <w:sz w:val="24"/>
        </w:rPr>
        <w:t>基金管理人和基金托管人处理与基金运作无关的事项发生的费用；</w:t>
      </w:r>
    </w:p>
    <w:p w14:paraId="698D583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Pr>
          <w:rFonts w:ascii="彩虹粗仿宋" w:eastAsia="彩虹粗仿宋" w:hAnsi="宋体" w:cs="Arial"/>
          <w:sz w:val="24"/>
        </w:rPr>
        <w:t>基金合同生效前的相关费用；</w:t>
      </w:r>
    </w:p>
    <w:p w14:paraId="6E7D901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w:t>
      </w:r>
      <w:r>
        <w:rPr>
          <w:rFonts w:ascii="彩虹粗仿宋" w:eastAsia="彩虹粗仿宋" w:hAnsi="宋体" w:cs="Arial"/>
          <w:sz w:val="24"/>
        </w:rPr>
        <w:t>其他根据相关法律法规及中国证监会的有关规定不得列入基金费用的项目。</w:t>
      </w:r>
      <w:bookmarkStart w:id="91" w:name="_Hlt88827255"/>
      <w:bookmarkEnd w:id="91"/>
    </w:p>
    <w:p w14:paraId="620CB97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（六）基金管理费、基金托管费、</w:t>
      </w:r>
      <w:r>
        <w:rPr>
          <w:rFonts w:ascii="彩虹粗仿宋" w:eastAsia="彩虹粗仿宋" w:hAnsi="宋体" w:cs="Arial"/>
          <w:sz w:val="24"/>
        </w:rPr>
        <w:t>销售服务费</w:t>
      </w:r>
      <w:r>
        <w:rPr>
          <w:rFonts w:ascii="彩虹粗仿宋" w:eastAsia="彩虹粗仿宋" w:hAnsi="宋体" w:cs="Arial" w:hint="eastAsia"/>
          <w:sz w:val="24"/>
        </w:rPr>
        <w:t>的复核程序、支付方式和时间</w:t>
      </w:r>
    </w:p>
    <w:p w14:paraId="1D33C34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65D650D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w:t>
      </w:r>
      <w:r>
        <w:rPr>
          <w:rFonts w:ascii="彩虹粗仿宋" w:eastAsia="彩虹粗仿宋" w:hAnsi="宋体" w:cs="Arial"/>
          <w:sz w:val="24"/>
        </w:rPr>
        <w:t>销售服务费</w:t>
      </w:r>
      <w:r>
        <w:rPr>
          <w:rFonts w:ascii="彩虹粗仿宋" w:eastAsia="彩虹粗仿宋" w:hAnsi="宋体" w:cs="Arial" w:hint="eastAsia"/>
          <w:sz w:val="24"/>
        </w:rPr>
        <w:t>等，根据本托管协议和《基金合同》的有关规定进行复核。</w:t>
      </w:r>
    </w:p>
    <w:p w14:paraId="69E8BCE5"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2.支付方式和时间</w:t>
      </w:r>
    </w:p>
    <w:p w14:paraId="20A38724" w14:textId="77777777" w:rsidR="004763B4" w:rsidRDefault="00083262">
      <w:pPr>
        <w:adjustRightInd w:val="0"/>
        <w:snapToGrid w:val="0"/>
        <w:ind w:firstLineChars="200" w:firstLine="480"/>
        <w:rPr>
          <w:rFonts w:ascii="彩虹粗仿宋" w:eastAsia="彩虹粗仿宋" w:hAnsi="宋体" w:cs="Arial"/>
          <w:sz w:val="24"/>
        </w:rPr>
      </w:pPr>
      <w:bookmarkStart w:id="92" w:name="_Hlk35023409"/>
      <w:r>
        <w:rPr>
          <w:rFonts w:ascii="彩虹粗仿宋" w:eastAsia="彩虹粗仿宋" w:hAnsi="宋体" w:cs="Arial" w:hint="eastAsia"/>
          <w:sz w:val="24"/>
        </w:rPr>
        <w:t>基金管理费、基金托管费</w:t>
      </w:r>
      <w:bookmarkStart w:id="93" w:name="_Hlk35023237"/>
      <w:r>
        <w:rPr>
          <w:rFonts w:ascii="彩虹粗仿宋" w:eastAsia="彩虹粗仿宋" w:hAnsi="宋体" w:cs="Arial" w:hint="eastAsia"/>
          <w:sz w:val="24"/>
        </w:rPr>
        <w:t>、销售服务费每日计提，逐日累计至每月月末，按月支付。由托管人根据与管理人核对一致的财务数据，自动在月初5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bookmarkEnd w:id="92"/>
    <w:bookmarkEnd w:id="93"/>
    <w:p w14:paraId="3C8443C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在首期支付基金管理费、销售服务费前，基金管理人应向托管人出具正式函件指定基金管理费、销售服务费的收款账户。基金管理人如需要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14:paraId="3928D8A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期间的基金费用</w:t>
      </w:r>
    </w:p>
    <w:p w14:paraId="6F0C2A5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w:t>
      </w:r>
      <w:proofErr w:type="gramStart"/>
      <w:r>
        <w:rPr>
          <w:rFonts w:ascii="彩虹粗仿宋" w:eastAsia="彩虹粗仿宋" w:hAnsi="宋体" w:cs="Arial" w:hint="eastAsia"/>
          <w:sz w:val="24"/>
        </w:rPr>
        <w:t>侧袋机制</w:t>
      </w:r>
      <w:proofErr w:type="gramEnd"/>
      <w:r>
        <w:rPr>
          <w:rFonts w:ascii="彩虹粗仿宋" w:eastAsia="彩虹粗仿宋" w:hAnsi="宋体" w:cs="Arial" w:hint="eastAsia"/>
          <w:sz w:val="24"/>
        </w:rPr>
        <w:t>的，</w:t>
      </w:r>
      <w:proofErr w:type="gramStart"/>
      <w:r>
        <w:rPr>
          <w:rFonts w:ascii="彩虹粗仿宋" w:eastAsia="彩虹粗仿宋" w:hAnsi="宋体" w:cs="Arial" w:hint="eastAsia"/>
          <w:sz w:val="24"/>
        </w:rPr>
        <w:t>与侧袋账户</w:t>
      </w:r>
      <w:proofErr w:type="gramEnd"/>
      <w:r>
        <w:rPr>
          <w:rFonts w:ascii="彩虹粗仿宋" w:eastAsia="彩虹粗仿宋" w:hAnsi="宋体" w:cs="Arial" w:hint="eastAsia"/>
          <w:sz w:val="24"/>
        </w:rPr>
        <w:t>有关的费用可以</w:t>
      </w:r>
      <w:proofErr w:type="gramStart"/>
      <w:r>
        <w:rPr>
          <w:rFonts w:ascii="彩虹粗仿宋" w:eastAsia="彩虹粗仿宋" w:hAnsi="宋体" w:cs="Arial" w:hint="eastAsia"/>
          <w:sz w:val="24"/>
        </w:rPr>
        <w:t>从侧袋账户</w:t>
      </w:r>
      <w:proofErr w:type="gramEnd"/>
      <w:r>
        <w:rPr>
          <w:rFonts w:ascii="彩虹粗仿宋" w:eastAsia="彩虹粗仿宋" w:hAnsi="宋体" w:cs="Arial" w:hint="eastAsia"/>
          <w:sz w:val="24"/>
        </w:rPr>
        <w:t>中列支，但</w:t>
      </w:r>
      <w:r>
        <w:rPr>
          <w:rFonts w:ascii="彩虹粗仿宋" w:eastAsia="彩虹粗仿宋" w:hAnsi="宋体" w:cs="Arial" w:hint="eastAsia"/>
          <w:sz w:val="24"/>
        </w:rPr>
        <w:lastRenderedPageBreak/>
        <w:t>应</w:t>
      </w:r>
      <w:proofErr w:type="gramStart"/>
      <w:r>
        <w:rPr>
          <w:rFonts w:ascii="彩虹粗仿宋" w:eastAsia="彩虹粗仿宋" w:hAnsi="宋体" w:cs="Arial" w:hint="eastAsia"/>
          <w:sz w:val="24"/>
        </w:rPr>
        <w:t>待侧袋</w:t>
      </w:r>
      <w:proofErr w:type="gramEnd"/>
      <w:r>
        <w:rPr>
          <w:rFonts w:ascii="彩虹粗仿宋" w:eastAsia="彩虹粗仿宋" w:hAnsi="宋体" w:cs="Arial" w:hint="eastAsia"/>
          <w:sz w:val="24"/>
        </w:rPr>
        <w:t>账户资产变现后方可列支。</w:t>
      </w:r>
      <w:proofErr w:type="gramStart"/>
      <w:r>
        <w:rPr>
          <w:rFonts w:ascii="彩虹粗仿宋" w:eastAsia="彩虹粗仿宋" w:hAnsi="宋体" w:cs="Arial" w:hint="eastAsia"/>
          <w:sz w:val="24"/>
        </w:rPr>
        <w:t>侧袋账户</w:t>
      </w:r>
      <w:proofErr w:type="gramEnd"/>
      <w:r>
        <w:rPr>
          <w:rFonts w:ascii="彩虹粗仿宋" w:eastAsia="彩虹粗仿宋" w:hAnsi="宋体" w:cs="Arial" w:hint="eastAsia"/>
          <w:sz w:val="24"/>
        </w:rPr>
        <w:t>资产不收取管理费。</w:t>
      </w:r>
    </w:p>
    <w:p w14:paraId="40C1949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（八）违规处理方式</w:t>
      </w:r>
    </w:p>
    <w:p w14:paraId="5D6D387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21B48FA" w14:textId="77777777" w:rsidR="004763B4" w:rsidRDefault="004763B4">
      <w:pPr>
        <w:adjustRightInd w:val="0"/>
        <w:snapToGrid w:val="0"/>
        <w:rPr>
          <w:rFonts w:ascii="彩虹粗仿宋" w:eastAsia="彩虹粗仿宋" w:hAnsi="宋体" w:cs="Arial"/>
          <w:sz w:val="24"/>
        </w:rPr>
      </w:pPr>
    </w:p>
    <w:p w14:paraId="2BCB7750" w14:textId="77777777" w:rsidR="004763B4" w:rsidRDefault="00083262">
      <w:pPr>
        <w:pStyle w:val="2"/>
        <w:jc w:val="center"/>
        <w:rPr>
          <w:rFonts w:ascii="彩虹粗仿宋" w:eastAsia="彩虹粗仿宋"/>
          <w:sz w:val="30"/>
        </w:rPr>
      </w:pPr>
      <w:bookmarkStart w:id="94" w:name="_Toc124325896"/>
      <w:r>
        <w:rPr>
          <w:rFonts w:ascii="彩虹粗仿宋" w:eastAsia="彩虹粗仿宋" w:hint="eastAsia"/>
          <w:sz w:val="30"/>
        </w:rPr>
        <w:t>十二、基金份额持有人名册的保管</w:t>
      </w:r>
      <w:bookmarkEnd w:id="94"/>
    </w:p>
    <w:p w14:paraId="37ACFF6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限不低于法律法规的规定。如不能妥善保管，则按相关法规承担责任。</w:t>
      </w:r>
    </w:p>
    <w:p w14:paraId="02CE9C8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4B57FB40" w14:textId="77777777" w:rsidR="004763B4" w:rsidRDefault="004763B4">
      <w:pPr>
        <w:adjustRightInd w:val="0"/>
        <w:snapToGrid w:val="0"/>
        <w:rPr>
          <w:rFonts w:ascii="彩虹粗仿宋" w:eastAsia="彩虹粗仿宋" w:hAnsi="宋体" w:cs="Arial"/>
          <w:sz w:val="24"/>
        </w:rPr>
      </w:pPr>
    </w:p>
    <w:p w14:paraId="094EAB09" w14:textId="77777777" w:rsidR="004763B4" w:rsidRDefault="00083262">
      <w:pPr>
        <w:pStyle w:val="2"/>
        <w:jc w:val="center"/>
        <w:rPr>
          <w:rFonts w:ascii="彩虹粗仿宋" w:eastAsia="彩虹粗仿宋"/>
          <w:sz w:val="30"/>
        </w:rPr>
      </w:pPr>
      <w:bookmarkStart w:id="95" w:name="_Toc124325897"/>
      <w:r>
        <w:rPr>
          <w:rFonts w:ascii="彩虹粗仿宋" w:eastAsia="彩虹粗仿宋" w:hint="eastAsia"/>
          <w:sz w:val="30"/>
        </w:rPr>
        <w:t>十三、基金有关文件档案的保存</w:t>
      </w:r>
      <w:bookmarkEnd w:id="95"/>
    </w:p>
    <w:p w14:paraId="2A04282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14:paraId="7C85164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的规定。</w:t>
      </w:r>
    </w:p>
    <w:p w14:paraId="18B40E17"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14:paraId="4E8D44A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C905CC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69449735"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14:paraId="0769C6B1" w14:textId="77777777" w:rsidR="004763B4" w:rsidRDefault="00083262">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14:paraId="7FF8202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w:t>
      </w:r>
      <w:r>
        <w:rPr>
          <w:rFonts w:ascii="彩虹粗仿宋" w:eastAsia="彩虹粗仿宋" w:hAnsi="宋体" w:cs="Arial" w:hint="eastAsia"/>
          <w:sz w:val="24"/>
        </w:rPr>
        <w:lastRenderedPageBreak/>
        <w:t>基金账册、交易记录和重要合同等，并承担保密义务，保存期限不低于法律法规的规定。</w:t>
      </w:r>
    </w:p>
    <w:p w14:paraId="6CF59C27" w14:textId="77777777" w:rsidR="004763B4" w:rsidRDefault="004763B4">
      <w:pPr>
        <w:adjustRightInd w:val="0"/>
        <w:snapToGrid w:val="0"/>
        <w:rPr>
          <w:rFonts w:ascii="彩虹粗仿宋" w:eastAsia="彩虹粗仿宋"/>
          <w:sz w:val="30"/>
          <w:szCs w:val="30"/>
        </w:rPr>
      </w:pPr>
    </w:p>
    <w:p w14:paraId="25748246" w14:textId="77777777" w:rsidR="004763B4" w:rsidRDefault="00083262">
      <w:pPr>
        <w:pStyle w:val="2"/>
        <w:jc w:val="center"/>
        <w:rPr>
          <w:rFonts w:ascii="彩虹粗仿宋" w:eastAsia="彩虹粗仿宋"/>
          <w:sz w:val="30"/>
        </w:rPr>
      </w:pPr>
      <w:bookmarkStart w:id="96" w:name="_Toc124325898"/>
      <w:r>
        <w:rPr>
          <w:rFonts w:ascii="彩虹粗仿宋" w:eastAsia="彩虹粗仿宋" w:hint="eastAsia"/>
          <w:sz w:val="30"/>
        </w:rPr>
        <w:t>十四、基金管理人和基金托管人的更换</w:t>
      </w:r>
      <w:bookmarkEnd w:id="96"/>
    </w:p>
    <w:p w14:paraId="01B685E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523AE96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3918ADA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02CB722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51E6433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09AE608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01BA75C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944755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0256204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3D2087C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2405A42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14:paraId="07783CC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14:paraId="2ABF428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0668186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在规定媒介公告；</w:t>
      </w:r>
    </w:p>
    <w:p w14:paraId="627CD55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14:paraId="6A119E6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14:paraId="40F7DFC4" w14:textId="77777777" w:rsidR="004763B4" w:rsidRDefault="000832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w:t>
      </w:r>
      <w:r>
        <w:rPr>
          <w:rFonts w:ascii="彩虹粗仿宋" w:eastAsia="彩虹粗仿宋" w:hAnsi="宋体" w:cs="Arial" w:hint="eastAsia"/>
          <w:sz w:val="24"/>
        </w:rPr>
        <w:lastRenderedPageBreak/>
        <w:t>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14:paraId="00503B1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0F6E55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AC96FE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5CD7FB9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4DAB80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(2)被基金份额持有人大会解任；</w:t>
      </w:r>
    </w:p>
    <w:p w14:paraId="35D3A46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14:paraId="13573A3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4623E2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17F7520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14:paraId="0611E98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14:paraId="7838888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14:paraId="2BD99A0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5F5C37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w:t>
      </w:r>
      <w:bookmarkStart w:id="97" w:name="_Hlk31977907"/>
      <w:r>
        <w:rPr>
          <w:rFonts w:ascii="彩虹粗仿宋" w:eastAsia="彩虹粗仿宋" w:hAnsi="宋体" w:cs="Arial"/>
          <w:sz w:val="24"/>
        </w:rPr>
        <w:t>依照《信息披露办法》的规定</w:t>
      </w:r>
      <w:bookmarkEnd w:id="97"/>
      <w:r>
        <w:rPr>
          <w:rFonts w:ascii="彩虹粗仿宋" w:eastAsia="彩虹粗仿宋" w:hAnsi="宋体" w:cs="Arial" w:hint="eastAsia"/>
          <w:sz w:val="24"/>
        </w:rPr>
        <w:t>在规定媒介公告；</w:t>
      </w:r>
    </w:p>
    <w:p w14:paraId="5057D74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14:paraId="54E9FFE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300C181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B0500E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6A00498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8118EF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w:t>
      </w:r>
      <w:r>
        <w:rPr>
          <w:rFonts w:ascii="彩虹粗仿宋" w:eastAsia="彩虹粗仿宋" w:hAnsi="宋体" w:cs="Arial"/>
          <w:sz w:val="24"/>
        </w:rPr>
        <w:t>依照《信息披露办法》的规定</w:t>
      </w:r>
      <w:r>
        <w:rPr>
          <w:rFonts w:ascii="彩虹粗仿宋" w:eastAsia="彩虹粗仿宋" w:hAnsi="宋体" w:cs="Arial" w:hint="eastAsia"/>
          <w:sz w:val="24"/>
        </w:rPr>
        <w:t>在规定媒介上联合公告。</w:t>
      </w:r>
    </w:p>
    <w:p w14:paraId="44A597A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（四）新任或临时基金管理人接收基金管理业务，或任或临时新基金托管人接收基金财产和基金托管业务前，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托管人在继续履行相关职责期间，仍有权按照基金合同的规定收取基金管理费或基金托管费。</w:t>
      </w:r>
    </w:p>
    <w:p w14:paraId="1FB7D54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w:t>
      </w:r>
      <w:proofErr w:type="gramStart"/>
      <w:r>
        <w:rPr>
          <w:rFonts w:ascii="彩虹粗仿宋" w:eastAsia="彩虹粗仿宋" w:hAnsi="宋体" w:cs="Arial" w:hint="eastAsia"/>
          <w:sz w:val="24"/>
        </w:rPr>
        <w:t>分关于</w:t>
      </w:r>
      <w:proofErr w:type="gramEnd"/>
      <w:r>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A7E0F68" w14:textId="77777777" w:rsidR="004763B4" w:rsidRDefault="00083262">
      <w:pPr>
        <w:pStyle w:val="2"/>
        <w:jc w:val="center"/>
        <w:rPr>
          <w:rFonts w:ascii="彩虹粗仿宋" w:eastAsia="彩虹粗仿宋"/>
          <w:sz w:val="30"/>
        </w:rPr>
      </w:pPr>
      <w:bookmarkStart w:id="98" w:name="_Toc124325899"/>
      <w:r>
        <w:rPr>
          <w:rFonts w:ascii="彩虹粗仿宋" w:eastAsia="彩虹粗仿宋" w:hint="eastAsia"/>
          <w:sz w:val="30"/>
        </w:rPr>
        <w:t>十五、禁止行为</w:t>
      </w:r>
      <w:bookmarkEnd w:id="98"/>
    </w:p>
    <w:p w14:paraId="01220A5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11F33AE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3B2718C4"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65EDF7A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（三）基金管理人、基金托管人利用基金财产或职务之便为基金份额持有人以外的第三人牟取利益。</w:t>
      </w:r>
    </w:p>
    <w:p w14:paraId="7543692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362718E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14F30DE4" w14:textId="77777777" w:rsidR="004763B4" w:rsidRDefault="00083262">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B68B19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14:paraId="0A724F9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p>
    <w:p w14:paraId="5E651EBD"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14:paraId="6859174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14:paraId="3CDF81E5"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（十一）基金托管人私自动用或处分基金财产，根据基金管理人的合法指令、《基金合同》或托管协议的规定进行处分的除外。</w:t>
      </w:r>
    </w:p>
    <w:p w14:paraId="65870C6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w:t>
      </w:r>
      <w:r>
        <w:rPr>
          <w:rFonts w:ascii="彩虹粗仿宋" w:eastAsia="彩虹粗仿宋" w:hAnsi="宋体" w:cs="Arial" w:hint="eastAsia"/>
          <w:sz w:val="24"/>
        </w:rPr>
        <w:lastRenderedPageBreak/>
        <w:t>款或者提供担保；3.从事承担无限责任的投资；4.向其基金管理人、基金托管人出资；</w:t>
      </w:r>
      <w:r>
        <w:rPr>
          <w:rFonts w:ascii="彩虹粗仿宋" w:eastAsia="彩虹粗仿宋" w:hAnsi="宋体" w:cs="Arial"/>
          <w:sz w:val="24"/>
        </w:rPr>
        <w:t>5</w:t>
      </w:r>
      <w:r>
        <w:rPr>
          <w:rFonts w:ascii="彩虹粗仿宋" w:eastAsia="彩虹粗仿宋" w:hAnsi="宋体" w:cs="Arial" w:hint="eastAsia"/>
          <w:sz w:val="24"/>
        </w:rPr>
        <w:t>.从事内幕交易、操纵证券交易价格及其他不正当的证券交易活动；</w:t>
      </w:r>
      <w:r>
        <w:rPr>
          <w:rFonts w:ascii="彩虹粗仿宋" w:eastAsia="彩虹粗仿宋" w:hAnsi="宋体" w:cs="Arial"/>
          <w:sz w:val="24"/>
        </w:rPr>
        <w:t>6</w:t>
      </w:r>
      <w:r>
        <w:rPr>
          <w:rFonts w:ascii="彩虹粗仿宋" w:eastAsia="彩虹粗仿宋" w:hAnsi="宋体" w:cs="Arial" w:hint="eastAsia"/>
          <w:sz w:val="24"/>
        </w:rPr>
        <w:t>.法律、行政法规和中国证监会规定禁止的其他活动。上述禁止行为是基于《基金合同》生效时法律法规而约定，如法律法规或监管部门取消上述限制，如适用于本基金，则本基金投资不再受相关限制；基金管理人应提前三个交易日公告，此调整无需召开基金份额持有人大会。</w:t>
      </w:r>
    </w:p>
    <w:p w14:paraId="08F2A515"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（十三）法律法规和《基金合同》禁止的其他行为，以及</w:t>
      </w:r>
      <w:r>
        <w:rPr>
          <w:rFonts w:ascii="彩虹粗仿宋" w:eastAsia="彩虹粗仿宋" w:hint="eastAsia"/>
          <w:sz w:val="24"/>
        </w:rPr>
        <w:t>依照法律、行政法规有关规定，由中国证监会规定禁止基金管理人、基金托管人从事的其他行为。</w:t>
      </w:r>
    </w:p>
    <w:p w14:paraId="5FB3C0D0" w14:textId="77777777" w:rsidR="004763B4" w:rsidRDefault="004763B4">
      <w:pPr>
        <w:adjustRightInd w:val="0"/>
        <w:snapToGrid w:val="0"/>
        <w:rPr>
          <w:rFonts w:ascii="彩虹粗仿宋" w:eastAsia="彩虹粗仿宋"/>
          <w:sz w:val="30"/>
          <w:szCs w:val="30"/>
        </w:rPr>
      </w:pPr>
    </w:p>
    <w:p w14:paraId="0DF8CF85" w14:textId="77777777" w:rsidR="004763B4" w:rsidRDefault="00083262">
      <w:pPr>
        <w:pStyle w:val="2"/>
        <w:jc w:val="center"/>
        <w:rPr>
          <w:rFonts w:ascii="彩虹粗仿宋" w:eastAsia="彩虹粗仿宋"/>
          <w:sz w:val="30"/>
        </w:rPr>
      </w:pPr>
      <w:bookmarkStart w:id="99" w:name="_Toc124325900"/>
      <w:r>
        <w:rPr>
          <w:rFonts w:ascii="彩虹粗仿宋" w:eastAsia="彩虹粗仿宋" w:hint="eastAsia"/>
          <w:sz w:val="30"/>
        </w:rPr>
        <w:t>十六、托管协议的变更、终止与基金财产的清算</w:t>
      </w:r>
      <w:bookmarkEnd w:id="99"/>
    </w:p>
    <w:p w14:paraId="1D3DE0A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9DF6CFB" w14:textId="77777777" w:rsidR="004763B4" w:rsidRDefault="000832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B64D9F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270B7B9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7E91A1B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33F6542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C07587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14:paraId="10DA00E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1661B427" w14:textId="77777777" w:rsidR="004763B4" w:rsidRDefault="00083262">
      <w:pPr>
        <w:adjustRightInd w:val="0"/>
        <w:snapToGrid w:val="0"/>
        <w:ind w:firstLineChars="200" w:firstLine="480"/>
        <w:rPr>
          <w:rFonts w:ascii="彩虹粗仿宋" w:eastAsia="彩虹粗仿宋" w:hAnsi="宋体" w:cs="Arial"/>
          <w:sz w:val="24"/>
        </w:rPr>
      </w:pPr>
      <w:bookmarkStart w:id="100" w:name="_Hlk35025012"/>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D48F6E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335321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ACEA5D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04BC357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435CF23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5FC456AF"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(3)对基金财产进行估值和变现；</w:t>
      </w:r>
    </w:p>
    <w:p w14:paraId="0A3E4E5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1350467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9ACC59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4424CA5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5273EE1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5.基金财产清算的期限为6个月，但因本基金所持证券的流动性受到限制而不能及时变现的，清算期限相应顺延。</w:t>
      </w:r>
    </w:p>
    <w:p w14:paraId="448274F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BCE554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15A9DF4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0E69A6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9BD45F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D310C1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w:t>
      </w:r>
      <w:proofErr w:type="gramStart"/>
      <w:r>
        <w:rPr>
          <w:rFonts w:ascii="彩虹粗仿宋" w:eastAsia="彩虹粗仿宋" w:hAnsi="宋体" w:cs="Arial" w:hint="eastAsia"/>
          <w:sz w:val="24"/>
        </w:rPr>
        <w:t>经符合</w:t>
      </w:r>
      <w:proofErr w:type="gramEnd"/>
      <w:r>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ascii="彩虹粗仿宋" w:eastAsia="彩虹粗仿宋" w:hAnsi="宋体" w:cs="Arial"/>
          <w:sz w:val="24"/>
        </w:rPr>
        <w:t>基金财产</w:t>
      </w:r>
      <w:r>
        <w:rPr>
          <w:rFonts w:ascii="彩虹粗仿宋" w:eastAsia="彩虹粗仿宋" w:hAnsi="宋体" w:cs="Arial" w:hint="eastAsia"/>
          <w:sz w:val="24"/>
        </w:rPr>
        <w:t>清算小组应当将清算报告登载在规定网站上，并将清算报告提示性公告登载在规定报刊上。</w:t>
      </w:r>
    </w:p>
    <w:p w14:paraId="2DA88FAA"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369C3C0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基金财产清算账册及有关文件由基金托管人保存15年以上，法律法规或监管规则另有规定的，从其规定。</w:t>
      </w:r>
    </w:p>
    <w:bookmarkEnd w:id="100"/>
    <w:p w14:paraId="22B7DF7E" w14:textId="77777777" w:rsidR="004763B4" w:rsidRDefault="004763B4">
      <w:pPr>
        <w:adjustRightInd w:val="0"/>
        <w:snapToGrid w:val="0"/>
        <w:rPr>
          <w:rFonts w:ascii="彩虹粗仿宋" w:eastAsia="彩虹粗仿宋" w:hAnsi="宋体" w:cs="Arial"/>
          <w:sz w:val="24"/>
        </w:rPr>
      </w:pPr>
    </w:p>
    <w:p w14:paraId="03059D6C" w14:textId="77777777" w:rsidR="004763B4" w:rsidRDefault="00083262">
      <w:pPr>
        <w:pStyle w:val="2"/>
        <w:jc w:val="center"/>
        <w:rPr>
          <w:rFonts w:ascii="彩虹粗仿宋" w:eastAsia="彩虹粗仿宋"/>
          <w:sz w:val="30"/>
        </w:rPr>
      </w:pPr>
      <w:bookmarkStart w:id="101" w:name="_Toc124325901"/>
      <w:r>
        <w:rPr>
          <w:rFonts w:ascii="彩虹粗仿宋" w:eastAsia="彩虹粗仿宋" w:hint="eastAsia"/>
          <w:sz w:val="30"/>
        </w:rPr>
        <w:t>十七、违约责任</w:t>
      </w:r>
      <w:bookmarkEnd w:id="101"/>
    </w:p>
    <w:p w14:paraId="0974F801"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675AE194"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w:t>
      </w:r>
      <w:r>
        <w:rPr>
          <w:rFonts w:ascii="彩虹粗仿宋" w:eastAsia="彩虹粗仿宋" w:hAnsi="宋体" w:cs="Arial" w:hint="eastAsia"/>
          <w:sz w:val="24"/>
        </w:rPr>
        <w:lastRenderedPageBreak/>
        <w:t>偿，仅限于直接损失。</w:t>
      </w:r>
    </w:p>
    <w:p w14:paraId="248CE9D6"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CF383B1"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35100C0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14:paraId="43AAEDAB"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p>
    <w:p w14:paraId="0F6C93A3"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w:t>
      </w:r>
    </w:p>
    <w:p w14:paraId="536897E0"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974709" w14:textId="77777777" w:rsidR="004763B4" w:rsidRDefault="0008326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C8D1C3B" w14:textId="77777777" w:rsidR="004763B4" w:rsidRDefault="004763B4">
      <w:pPr>
        <w:adjustRightInd w:val="0"/>
        <w:snapToGrid w:val="0"/>
        <w:outlineLvl w:val="0"/>
        <w:rPr>
          <w:rFonts w:ascii="彩虹粗仿宋" w:eastAsia="彩虹粗仿宋" w:hAnsi="宋体" w:cs="Arial"/>
          <w:sz w:val="24"/>
        </w:rPr>
      </w:pPr>
    </w:p>
    <w:p w14:paraId="0C80D5EF" w14:textId="77777777" w:rsidR="004763B4" w:rsidRDefault="00083262">
      <w:pPr>
        <w:pStyle w:val="2"/>
        <w:jc w:val="center"/>
        <w:rPr>
          <w:rFonts w:ascii="彩虹粗仿宋" w:eastAsia="彩虹粗仿宋"/>
          <w:sz w:val="30"/>
        </w:rPr>
      </w:pPr>
      <w:bookmarkStart w:id="102" w:name="_Toc124325902"/>
      <w:r>
        <w:rPr>
          <w:rFonts w:ascii="彩虹粗仿宋" w:eastAsia="彩虹粗仿宋" w:hint="eastAsia"/>
          <w:sz w:val="30"/>
        </w:rPr>
        <w:t>十八、争议解决方式</w:t>
      </w:r>
      <w:bookmarkEnd w:id="102"/>
    </w:p>
    <w:p w14:paraId="459BE4C7"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各方当事人同意，因本协议产生或与之相关的争议，如经一方提出协商解决争议之日起60日内争议未能以协商方式解决的，应提交中国国际经济贸易仲裁委员会按照当时有效的仲裁规则进行仲裁，仲裁地点为北京市。仲裁裁决是终局的，对仲裁各方当事人均有约束力，仲裁费由败诉方承担。</w:t>
      </w:r>
    </w:p>
    <w:p w14:paraId="08A46D8E"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70B8A19"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Pr>
          <w:rFonts w:ascii="彩虹粗仿宋" w:eastAsia="彩虹粗仿宋" w:hAnsi="宋体" w:cs="Arial"/>
          <w:sz w:val="24"/>
        </w:rPr>
        <w:t>（为本</w:t>
      </w:r>
      <w:r>
        <w:rPr>
          <w:rFonts w:ascii="彩虹粗仿宋" w:eastAsia="彩虹粗仿宋" w:hAnsi="宋体" w:cs="Arial" w:hint="eastAsia"/>
          <w:sz w:val="24"/>
        </w:rPr>
        <w:t>协议</w:t>
      </w:r>
      <w:r>
        <w:rPr>
          <w:rFonts w:ascii="彩虹粗仿宋" w:eastAsia="彩虹粗仿宋" w:hAnsi="宋体" w:cs="Arial"/>
          <w:sz w:val="24"/>
        </w:rPr>
        <w:t>之目的，不包括香港特别行政区、澳门特别行政区和台湾地区法律）</w:t>
      </w:r>
      <w:r>
        <w:rPr>
          <w:rFonts w:ascii="彩虹粗仿宋" w:eastAsia="彩虹粗仿宋" w:hAnsi="宋体" w:cs="Arial" w:hint="eastAsia"/>
          <w:sz w:val="24"/>
        </w:rPr>
        <w:t>管辖。</w:t>
      </w:r>
    </w:p>
    <w:p w14:paraId="00BDACB0" w14:textId="77777777" w:rsidR="004763B4" w:rsidRDefault="004763B4">
      <w:pPr>
        <w:adjustRightInd w:val="0"/>
        <w:snapToGrid w:val="0"/>
        <w:rPr>
          <w:rFonts w:ascii="彩虹粗仿宋" w:eastAsia="彩虹粗仿宋" w:hAnsi="宋体" w:cs="Arial"/>
          <w:sz w:val="24"/>
        </w:rPr>
      </w:pPr>
    </w:p>
    <w:p w14:paraId="079699FB" w14:textId="77777777" w:rsidR="004763B4" w:rsidRDefault="00083262">
      <w:pPr>
        <w:pStyle w:val="2"/>
        <w:jc w:val="center"/>
        <w:rPr>
          <w:rFonts w:ascii="彩虹粗仿宋" w:eastAsia="彩虹粗仿宋"/>
          <w:sz w:val="30"/>
        </w:rPr>
      </w:pPr>
      <w:bookmarkStart w:id="103" w:name="_Toc124325903"/>
      <w:r>
        <w:rPr>
          <w:rFonts w:ascii="彩虹粗仿宋" w:eastAsia="彩虹粗仿宋" w:hint="eastAsia"/>
          <w:sz w:val="30"/>
        </w:rPr>
        <w:lastRenderedPageBreak/>
        <w:t>十九、托管协议的效力</w:t>
      </w:r>
      <w:bookmarkEnd w:id="103"/>
    </w:p>
    <w:p w14:paraId="379DF4F2"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41CAC73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14:paraId="1B484160"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E00B78C"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3C8E4E20" w14:textId="77777777" w:rsidR="004763B4" w:rsidRDefault="00083262">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14:paraId="3A57FA6A" w14:textId="77777777" w:rsidR="004763B4" w:rsidRDefault="004763B4">
      <w:pPr>
        <w:adjustRightInd w:val="0"/>
        <w:snapToGrid w:val="0"/>
        <w:rPr>
          <w:rFonts w:ascii="彩虹粗仿宋" w:eastAsia="彩虹粗仿宋" w:hAnsi="宋体" w:cs="Arial"/>
          <w:sz w:val="24"/>
        </w:rPr>
      </w:pPr>
    </w:p>
    <w:p w14:paraId="5C2E97B6" w14:textId="77777777" w:rsidR="004763B4" w:rsidRDefault="00083262">
      <w:pPr>
        <w:pStyle w:val="2"/>
        <w:jc w:val="center"/>
        <w:rPr>
          <w:rFonts w:ascii="彩虹粗仿宋" w:eastAsia="彩虹粗仿宋"/>
          <w:sz w:val="30"/>
        </w:rPr>
      </w:pPr>
      <w:bookmarkStart w:id="104" w:name="_Toc124325904"/>
      <w:r>
        <w:rPr>
          <w:rFonts w:ascii="彩虹粗仿宋" w:eastAsia="彩虹粗仿宋" w:hint="eastAsia"/>
          <w:sz w:val="30"/>
        </w:rPr>
        <w:t>二十、其他事项</w:t>
      </w:r>
      <w:bookmarkEnd w:id="104"/>
    </w:p>
    <w:p w14:paraId="027F0DD8"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5F42BA16" w14:textId="77777777" w:rsidR="004763B4" w:rsidRDefault="0008326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DE9B4B0" w14:textId="77777777" w:rsidR="004763B4" w:rsidRDefault="004763B4">
      <w:pPr>
        <w:adjustRightInd w:val="0"/>
        <w:snapToGrid w:val="0"/>
        <w:rPr>
          <w:rFonts w:ascii="彩虹粗仿宋" w:eastAsia="彩虹粗仿宋"/>
          <w:b/>
          <w:bCs/>
        </w:rPr>
      </w:pPr>
    </w:p>
    <w:p w14:paraId="29C5947D" w14:textId="77777777" w:rsidR="004763B4" w:rsidRDefault="00083262">
      <w:pPr>
        <w:pStyle w:val="2"/>
        <w:jc w:val="center"/>
        <w:rPr>
          <w:rFonts w:ascii="彩虹粗仿宋" w:eastAsia="彩虹粗仿宋"/>
          <w:sz w:val="30"/>
        </w:rPr>
      </w:pPr>
      <w:bookmarkStart w:id="105" w:name="_Toc124325905"/>
      <w:r>
        <w:rPr>
          <w:rFonts w:ascii="彩虹粗仿宋" w:eastAsia="彩虹粗仿宋" w:hint="eastAsia"/>
          <w:sz w:val="30"/>
        </w:rPr>
        <w:t>二十一、托管协议的签订</w:t>
      </w:r>
      <w:bookmarkEnd w:id="105"/>
    </w:p>
    <w:p w14:paraId="1BDE3D01" w14:textId="77777777" w:rsidR="004763B4" w:rsidRDefault="00083262">
      <w:pPr>
        <w:adjustRightInd w:val="0"/>
        <w:snapToGrid w:val="0"/>
        <w:ind w:firstLineChars="200" w:firstLine="480"/>
      </w:pPr>
      <w:r>
        <w:rPr>
          <w:rFonts w:ascii="彩虹粗仿宋" w:eastAsia="彩虹粗仿宋" w:hAnsi="宋体" w:cs="Arial" w:hint="eastAsia"/>
          <w:sz w:val="24"/>
        </w:rPr>
        <w:t>本协议双方法定代表人或授权代表签章、签订地、签订日</w:t>
      </w:r>
    </w:p>
    <w:sectPr w:rsidR="004763B4" w:rsidSect="004763B4">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068A6" w14:textId="77777777" w:rsidR="00E13015" w:rsidRDefault="00E13015" w:rsidP="004763B4">
      <w:r>
        <w:separator/>
      </w:r>
    </w:p>
  </w:endnote>
  <w:endnote w:type="continuationSeparator" w:id="0">
    <w:p w14:paraId="5416B203" w14:textId="77777777" w:rsidR="00E13015" w:rsidRDefault="00E13015" w:rsidP="0047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彩虹粗仿宋">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DC9B3" w14:textId="77777777" w:rsidR="004763B4" w:rsidRDefault="002D50E4">
    <w:pPr>
      <w:pStyle w:val="aa"/>
      <w:framePr w:wrap="around" w:vAnchor="text" w:hAnchor="margin" w:xAlign="center" w:y="1"/>
      <w:rPr>
        <w:rStyle w:val="af1"/>
      </w:rPr>
    </w:pPr>
    <w:r>
      <w:fldChar w:fldCharType="begin"/>
    </w:r>
    <w:r w:rsidR="00083262">
      <w:rPr>
        <w:rStyle w:val="af1"/>
      </w:rPr>
      <w:instrText xml:space="preserve">PAGE  </w:instrText>
    </w:r>
    <w:r>
      <w:fldChar w:fldCharType="end"/>
    </w:r>
  </w:p>
  <w:p w14:paraId="5CEF92D8" w14:textId="77777777" w:rsidR="004763B4" w:rsidRDefault="004763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6C1F" w14:textId="77777777" w:rsidR="004763B4" w:rsidRDefault="004763B4">
    <w:pPr>
      <w:pStyle w:val="aa"/>
      <w:jc w:val="center"/>
    </w:pPr>
  </w:p>
  <w:p w14:paraId="09AFBE07" w14:textId="77777777" w:rsidR="004763B4" w:rsidRDefault="004763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4345D" w14:textId="77777777" w:rsidR="00E13015" w:rsidRDefault="00E13015" w:rsidP="004763B4">
      <w:r>
        <w:separator/>
      </w:r>
    </w:p>
  </w:footnote>
  <w:footnote w:type="continuationSeparator" w:id="0">
    <w:p w14:paraId="59C51F1B" w14:textId="77777777" w:rsidR="00E13015" w:rsidRDefault="00E13015" w:rsidP="0047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ADB71" w14:textId="77777777" w:rsidR="004763B4" w:rsidRDefault="00083262">
    <w:pPr>
      <w:pStyle w:val="ac"/>
      <w:wordWrap w:val="0"/>
      <w:jc w:val="right"/>
    </w:pPr>
    <w:r>
      <w:rPr>
        <w:rFonts w:ascii="仿宋_GB2312" w:eastAsia="仿宋_GB2312" w:hint="eastAsia"/>
      </w:rPr>
      <w:t>华泰柏瑞上证</w:t>
    </w:r>
    <w:r>
      <w:rPr>
        <w:rFonts w:ascii="仿宋_GB2312" w:eastAsia="仿宋_GB2312" w:hint="eastAsia"/>
      </w:rPr>
      <w:t>科创板50成份交易型开放式指数证券投资基金联接基金                         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8772C"/>
    <w:rsid w:val="00002874"/>
    <w:rsid w:val="00026A25"/>
    <w:rsid w:val="0002765A"/>
    <w:rsid w:val="00036D3E"/>
    <w:rsid w:val="00044C88"/>
    <w:rsid w:val="00063554"/>
    <w:rsid w:val="00071F0F"/>
    <w:rsid w:val="00083262"/>
    <w:rsid w:val="0008772C"/>
    <w:rsid w:val="000A06EB"/>
    <w:rsid w:val="000A2D9F"/>
    <w:rsid w:val="000B1651"/>
    <w:rsid w:val="000C4004"/>
    <w:rsid w:val="000E2BEC"/>
    <w:rsid w:val="000E7A62"/>
    <w:rsid w:val="0010098C"/>
    <w:rsid w:val="00101656"/>
    <w:rsid w:val="00110B70"/>
    <w:rsid w:val="001308A1"/>
    <w:rsid w:val="00130A53"/>
    <w:rsid w:val="00130AA7"/>
    <w:rsid w:val="00154182"/>
    <w:rsid w:val="001671BD"/>
    <w:rsid w:val="00174256"/>
    <w:rsid w:val="001817B2"/>
    <w:rsid w:val="001823A9"/>
    <w:rsid w:val="001956E4"/>
    <w:rsid w:val="001957DB"/>
    <w:rsid w:val="001B0521"/>
    <w:rsid w:val="001B2767"/>
    <w:rsid w:val="001C40D9"/>
    <w:rsid w:val="001C798C"/>
    <w:rsid w:val="001D0FFA"/>
    <w:rsid w:val="001D124C"/>
    <w:rsid w:val="001F2090"/>
    <w:rsid w:val="002077FC"/>
    <w:rsid w:val="002107A3"/>
    <w:rsid w:val="00220450"/>
    <w:rsid w:val="002302F0"/>
    <w:rsid w:val="00232072"/>
    <w:rsid w:val="00237ED5"/>
    <w:rsid w:val="002454AE"/>
    <w:rsid w:val="00253FB4"/>
    <w:rsid w:val="002564FF"/>
    <w:rsid w:val="002641B0"/>
    <w:rsid w:val="00280AFA"/>
    <w:rsid w:val="00285429"/>
    <w:rsid w:val="002A12E9"/>
    <w:rsid w:val="002C7B8E"/>
    <w:rsid w:val="002D50E4"/>
    <w:rsid w:val="002E4B3C"/>
    <w:rsid w:val="002F2E3E"/>
    <w:rsid w:val="003200DB"/>
    <w:rsid w:val="003265A2"/>
    <w:rsid w:val="003310F5"/>
    <w:rsid w:val="0034077B"/>
    <w:rsid w:val="00345838"/>
    <w:rsid w:val="00353584"/>
    <w:rsid w:val="0038611F"/>
    <w:rsid w:val="003A57DC"/>
    <w:rsid w:val="003A71DD"/>
    <w:rsid w:val="003B059A"/>
    <w:rsid w:val="003B16D5"/>
    <w:rsid w:val="003D6116"/>
    <w:rsid w:val="003D68CA"/>
    <w:rsid w:val="00403315"/>
    <w:rsid w:val="00431286"/>
    <w:rsid w:val="004346C9"/>
    <w:rsid w:val="00434749"/>
    <w:rsid w:val="00463DD0"/>
    <w:rsid w:val="004756F9"/>
    <w:rsid w:val="004763B4"/>
    <w:rsid w:val="00496555"/>
    <w:rsid w:val="004B62B3"/>
    <w:rsid w:val="004B747F"/>
    <w:rsid w:val="004D038A"/>
    <w:rsid w:val="004D0FAC"/>
    <w:rsid w:val="004D4268"/>
    <w:rsid w:val="004F2446"/>
    <w:rsid w:val="004F31A6"/>
    <w:rsid w:val="0052090F"/>
    <w:rsid w:val="0054440E"/>
    <w:rsid w:val="00563D40"/>
    <w:rsid w:val="00584F33"/>
    <w:rsid w:val="0059767B"/>
    <w:rsid w:val="00597C6A"/>
    <w:rsid w:val="005B1D61"/>
    <w:rsid w:val="005B598B"/>
    <w:rsid w:val="005C5DA2"/>
    <w:rsid w:val="005C7EF4"/>
    <w:rsid w:val="005D48B7"/>
    <w:rsid w:val="005D6E30"/>
    <w:rsid w:val="005E39B3"/>
    <w:rsid w:val="005F2E82"/>
    <w:rsid w:val="00601D05"/>
    <w:rsid w:val="00622838"/>
    <w:rsid w:val="00622C6C"/>
    <w:rsid w:val="00647ADC"/>
    <w:rsid w:val="00692138"/>
    <w:rsid w:val="006A74E8"/>
    <w:rsid w:val="006C1092"/>
    <w:rsid w:val="006C2CFF"/>
    <w:rsid w:val="006C62D2"/>
    <w:rsid w:val="006D70F1"/>
    <w:rsid w:val="006E6E31"/>
    <w:rsid w:val="006F755B"/>
    <w:rsid w:val="0071056D"/>
    <w:rsid w:val="007134E6"/>
    <w:rsid w:val="00724243"/>
    <w:rsid w:val="0073424F"/>
    <w:rsid w:val="007632F5"/>
    <w:rsid w:val="00764761"/>
    <w:rsid w:val="0077494E"/>
    <w:rsid w:val="00774E1D"/>
    <w:rsid w:val="00774FB1"/>
    <w:rsid w:val="00780507"/>
    <w:rsid w:val="0078109D"/>
    <w:rsid w:val="00782B0E"/>
    <w:rsid w:val="0079546E"/>
    <w:rsid w:val="007F2C56"/>
    <w:rsid w:val="007F6535"/>
    <w:rsid w:val="0080042A"/>
    <w:rsid w:val="008147C3"/>
    <w:rsid w:val="00834DB5"/>
    <w:rsid w:val="008456B7"/>
    <w:rsid w:val="00851899"/>
    <w:rsid w:val="00852AB5"/>
    <w:rsid w:val="008734AD"/>
    <w:rsid w:val="008974C7"/>
    <w:rsid w:val="008B0A2C"/>
    <w:rsid w:val="008B34D0"/>
    <w:rsid w:val="008C1349"/>
    <w:rsid w:val="008C4CA2"/>
    <w:rsid w:val="008C684E"/>
    <w:rsid w:val="008C746F"/>
    <w:rsid w:val="008F22B0"/>
    <w:rsid w:val="008F22CE"/>
    <w:rsid w:val="008F4339"/>
    <w:rsid w:val="00902664"/>
    <w:rsid w:val="00920E23"/>
    <w:rsid w:val="00950AC0"/>
    <w:rsid w:val="009518D2"/>
    <w:rsid w:val="009633A8"/>
    <w:rsid w:val="00974402"/>
    <w:rsid w:val="00981087"/>
    <w:rsid w:val="00986A73"/>
    <w:rsid w:val="009C5CF2"/>
    <w:rsid w:val="009E1543"/>
    <w:rsid w:val="009E57B7"/>
    <w:rsid w:val="009F2E19"/>
    <w:rsid w:val="00A07EE9"/>
    <w:rsid w:val="00A46D2E"/>
    <w:rsid w:val="00A62B48"/>
    <w:rsid w:val="00A638F4"/>
    <w:rsid w:val="00A80197"/>
    <w:rsid w:val="00A8440F"/>
    <w:rsid w:val="00A856FC"/>
    <w:rsid w:val="00A95E2C"/>
    <w:rsid w:val="00AB05CD"/>
    <w:rsid w:val="00AB064D"/>
    <w:rsid w:val="00AB5070"/>
    <w:rsid w:val="00AC3938"/>
    <w:rsid w:val="00AC6A00"/>
    <w:rsid w:val="00AD0828"/>
    <w:rsid w:val="00AF59C2"/>
    <w:rsid w:val="00AF6773"/>
    <w:rsid w:val="00AF73B4"/>
    <w:rsid w:val="00B06F9C"/>
    <w:rsid w:val="00B116C9"/>
    <w:rsid w:val="00B236D1"/>
    <w:rsid w:val="00B26F48"/>
    <w:rsid w:val="00B37703"/>
    <w:rsid w:val="00B41215"/>
    <w:rsid w:val="00B46C74"/>
    <w:rsid w:val="00B51D13"/>
    <w:rsid w:val="00B6257A"/>
    <w:rsid w:val="00B84C66"/>
    <w:rsid w:val="00B90689"/>
    <w:rsid w:val="00BA26AC"/>
    <w:rsid w:val="00BC4C68"/>
    <w:rsid w:val="00BC6666"/>
    <w:rsid w:val="00BD4E0B"/>
    <w:rsid w:val="00C03FE2"/>
    <w:rsid w:val="00C1611A"/>
    <w:rsid w:val="00C4026C"/>
    <w:rsid w:val="00C41CB4"/>
    <w:rsid w:val="00C5093E"/>
    <w:rsid w:val="00C54C1A"/>
    <w:rsid w:val="00C8698A"/>
    <w:rsid w:val="00C87B7E"/>
    <w:rsid w:val="00C91996"/>
    <w:rsid w:val="00C9588F"/>
    <w:rsid w:val="00CA0430"/>
    <w:rsid w:val="00CA0BC0"/>
    <w:rsid w:val="00CA49CC"/>
    <w:rsid w:val="00CA5319"/>
    <w:rsid w:val="00CB11B4"/>
    <w:rsid w:val="00CC1A44"/>
    <w:rsid w:val="00CD71F7"/>
    <w:rsid w:val="00CE44F7"/>
    <w:rsid w:val="00CF33F6"/>
    <w:rsid w:val="00D01AFC"/>
    <w:rsid w:val="00D04755"/>
    <w:rsid w:val="00D12CEC"/>
    <w:rsid w:val="00D167C5"/>
    <w:rsid w:val="00D40455"/>
    <w:rsid w:val="00D40A2D"/>
    <w:rsid w:val="00D42B7A"/>
    <w:rsid w:val="00D45796"/>
    <w:rsid w:val="00D76373"/>
    <w:rsid w:val="00D820ED"/>
    <w:rsid w:val="00DF5758"/>
    <w:rsid w:val="00DF7141"/>
    <w:rsid w:val="00E050F0"/>
    <w:rsid w:val="00E13015"/>
    <w:rsid w:val="00E15002"/>
    <w:rsid w:val="00E31357"/>
    <w:rsid w:val="00E46215"/>
    <w:rsid w:val="00E75AE0"/>
    <w:rsid w:val="00E85D7E"/>
    <w:rsid w:val="00E925D3"/>
    <w:rsid w:val="00ED5083"/>
    <w:rsid w:val="00EE417C"/>
    <w:rsid w:val="00EF197C"/>
    <w:rsid w:val="00F05FF3"/>
    <w:rsid w:val="00F167B1"/>
    <w:rsid w:val="00F318DE"/>
    <w:rsid w:val="00F373CA"/>
    <w:rsid w:val="00F61C1F"/>
    <w:rsid w:val="00F7718A"/>
    <w:rsid w:val="00F82BCD"/>
    <w:rsid w:val="00F85CFD"/>
    <w:rsid w:val="00F94767"/>
    <w:rsid w:val="00F94EC5"/>
    <w:rsid w:val="00F9586C"/>
    <w:rsid w:val="00FB3EDD"/>
    <w:rsid w:val="00FC26A3"/>
    <w:rsid w:val="00FC5132"/>
    <w:rsid w:val="00FC533E"/>
    <w:rsid w:val="00FC5B19"/>
    <w:rsid w:val="00FD03EF"/>
    <w:rsid w:val="00FD04E7"/>
    <w:rsid w:val="00FE50F2"/>
    <w:rsid w:val="00FE6381"/>
    <w:rsid w:val="00FF2B54"/>
    <w:rsid w:val="00FF7167"/>
    <w:rsid w:val="01525B72"/>
    <w:rsid w:val="0317660A"/>
    <w:rsid w:val="04675247"/>
    <w:rsid w:val="05A17771"/>
    <w:rsid w:val="07D1649A"/>
    <w:rsid w:val="0A73202D"/>
    <w:rsid w:val="0B4152AA"/>
    <w:rsid w:val="0D283ED5"/>
    <w:rsid w:val="0DA61180"/>
    <w:rsid w:val="0F136884"/>
    <w:rsid w:val="0F9210FF"/>
    <w:rsid w:val="10565D5B"/>
    <w:rsid w:val="12CA6EFD"/>
    <w:rsid w:val="16EF2CB0"/>
    <w:rsid w:val="17BE6AC4"/>
    <w:rsid w:val="1AE24C1B"/>
    <w:rsid w:val="1BFC3FB1"/>
    <w:rsid w:val="1C9F79AB"/>
    <w:rsid w:val="1CDC3838"/>
    <w:rsid w:val="1DDB496D"/>
    <w:rsid w:val="1E3825E1"/>
    <w:rsid w:val="1EE37863"/>
    <w:rsid w:val="1F0C6E11"/>
    <w:rsid w:val="22DF6705"/>
    <w:rsid w:val="251822CD"/>
    <w:rsid w:val="255909F1"/>
    <w:rsid w:val="27362F91"/>
    <w:rsid w:val="27F119B9"/>
    <w:rsid w:val="28655B34"/>
    <w:rsid w:val="2A5606E2"/>
    <w:rsid w:val="2D423D49"/>
    <w:rsid w:val="2E3C5F18"/>
    <w:rsid w:val="2EDE4B23"/>
    <w:rsid w:val="31FB4EA3"/>
    <w:rsid w:val="33927347"/>
    <w:rsid w:val="36516B81"/>
    <w:rsid w:val="36F011B0"/>
    <w:rsid w:val="3944109F"/>
    <w:rsid w:val="396A728D"/>
    <w:rsid w:val="3B607573"/>
    <w:rsid w:val="3C2A1DAA"/>
    <w:rsid w:val="3EB31ADC"/>
    <w:rsid w:val="440F0224"/>
    <w:rsid w:val="45D113AF"/>
    <w:rsid w:val="46491678"/>
    <w:rsid w:val="46DB4587"/>
    <w:rsid w:val="46F459EE"/>
    <w:rsid w:val="485741F1"/>
    <w:rsid w:val="48832C35"/>
    <w:rsid w:val="4984504B"/>
    <w:rsid w:val="4AEC3A78"/>
    <w:rsid w:val="4B433193"/>
    <w:rsid w:val="4C52233A"/>
    <w:rsid w:val="4C7E239A"/>
    <w:rsid w:val="4D5E5BAF"/>
    <w:rsid w:val="4F5C1211"/>
    <w:rsid w:val="50280630"/>
    <w:rsid w:val="535B5FB1"/>
    <w:rsid w:val="53CD333B"/>
    <w:rsid w:val="573B104D"/>
    <w:rsid w:val="57DD7982"/>
    <w:rsid w:val="58C547B7"/>
    <w:rsid w:val="59937BB0"/>
    <w:rsid w:val="5A2B23D0"/>
    <w:rsid w:val="5ADF4460"/>
    <w:rsid w:val="5AED1432"/>
    <w:rsid w:val="5C302627"/>
    <w:rsid w:val="5DE80080"/>
    <w:rsid w:val="60003AE4"/>
    <w:rsid w:val="61C37093"/>
    <w:rsid w:val="62230216"/>
    <w:rsid w:val="63B66D66"/>
    <w:rsid w:val="654F7D1A"/>
    <w:rsid w:val="66302E29"/>
    <w:rsid w:val="66657E87"/>
    <w:rsid w:val="670D01AC"/>
    <w:rsid w:val="67486DDA"/>
    <w:rsid w:val="69340F5D"/>
    <w:rsid w:val="70874CD9"/>
    <w:rsid w:val="70F01BE5"/>
    <w:rsid w:val="75C054EA"/>
    <w:rsid w:val="76A32122"/>
    <w:rsid w:val="78F23294"/>
    <w:rsid w:val="7A5052FD"/>
    <w:rsid w:val="7A960905"/>
    <w:rsid w:val="7B861450"/>
    <w:rsid w:val="7E876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45451"/>
  <w15:docId w15:val="{6C1C37A2-A456-46CB-95DE-9038BF96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3B4"/>
    <w:pPr>
      <w:widowControl w:val="0"/>
      <w:jc w:val="both"/>
    </w:pPr>
    <w:rPr>
      <w:kern w:val="2"/>
      <w:sz w:val="21"/>
      <w:szCs w:val="24"/>
    </w:rPr>
  </w:style>
  <w:style w:type="paragraph" w:styleId="2">
    <w:name w:val="heading 2"/>
    <w:basedOn w:val="a"/>
    <w:next w:val="a0"/>
    <w:link w:val="20"/>
    <w:qFormat/>
    <w:rsid w:val="004763B4"/>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763B4"/>
    <w:pPr>
      <w:ind w:firstLineChars="200" w:firstLine="420"/>
    </w:pPr>
  </w:style>
  <w:style w:type="paragraph" w:styleId="a4">
    <w:name w:val="annotation text"/>
    <w:basedOn w:val="a"/>
    <w:link w:val="a5"/>
    <w:qFormat/>
    <w:rsid w:val="004763B4"/>
    <w:pPr>
      <w:jc w:val="left"/>
    </w:pPr>
  </w:style>
  <w:style w:type="paragraph" w:styleId="a6">
    <w:name w:val="Body Text Indent"/>
    <w:basedOn w:val="a"/>
    <w:link w:val="a7"/>
    <w:qFormat/>
    <w:rsid w:val="004763B4"/>
    <w:pPr>
      <w:adjustRightInd w:val="0"/>
      <w:snapToGrid w:val="0"/>
      <w:spacing w:line="560" w:lineRule="exact"/>
      <w:ind w:firstLineChars="200" w:firstLine="480"/>
    </w:pPr>
    <w:rPr>
      <w:rFonts w:eastAsia="方正仿宋简体"/>
      <w:sz w:val="24"/>
      <w:szCs w:val="30"/>
    </w:rPr>
  </w:style>
  <w:style w:type="paragraph" w:styleId="a8">
    <w:name w:val="Balloon Text"/>
    <w:basedOn w:val="a"/>
    <w:link w:val="a9"/>
    <w:uiPriority w:val="99"/>
    <w:unhideWhenUsed/>
    <w:qFormat/>
    <w:rsid w:val="004763B4"/>
    <w:rPr>
      <w:sz w:val="18"/>
      <w:szCs w:val="18"/>
    </w:rPr>
  </w:style>
  <w:style w:type="paragraph" w:styleId="aa">
    <w:name w:val="footer"/>
    <w:basedOn w:val="a"/>
    <w:link w:val="ab"/>
    <w:uiPriority w:val="99"/>
    <w:unhideWhenUsed/>
    <w:qFormat/>
    <w:rsid w:val="004763B4"/>
    <w:pPr>
      <w:tabs>
        <w:tab w:val="center" w:pos="4153"/>
        <w:tab w:val="right" w:pos="8306"/>
      </w:tabs>
      <w:snapToGrid w:val="0"/>
      <w:jc w:val="left"/>
    </w:pPr>
    <w:rPr>
      <w:rFonts w:ascii="Calibri" w:hAnsi="Calibri" w:cs="黑体"/>
      <w:sz w:val="18"/>
      <w:szCs w:val="18"/>
    </w:rPr>
  </w:style>
  <w:style w:type="paragraph" w:styleId="ac">
    <w:name w:val="header"/>
    <w:basedOn w:val="a"/>
    <w:link w:val="ad"/>
    <w:uiPriority w:val="99"/>
    <w:unhideWhenUsed/>
    <w:qFormat/>
    <w:rsid w:val="004763B4"/>
    <w:pPr>
      <w:pBdr>
        <w:bottom w:val="single" w:sz="6" w:space="1" w:color="auto"/>
      </w:pBdr>
      <w:tabs>
        <w:tab w:val="center" w:pos="4153"/>
        <w:tab w:val="right" w:pos="8306"/>
      </w:tabs>
      <w:snapToGrid w:val="0"/>
      <w:jc w:val="center"/>
    </w:pPr>
    <w:rPr>
      <w:rFonts w:ascii="Calibri" w:hAnsi="Calibri" w:cs="黑体"/>
      <w:sz w:val="18"/>
      <w:szCs w:val="18"/>
    </w:rPr>
  </w:style>
  <w:style w:type="paragraph" w:styleId="TOC2">
    <w:name w:val="toc 2"/>
    <w:basedOn w:val="a"/>
    <w:next w:val="a"/>
    <w:semiHidden/>
    <w:qFormat/>
    <w:rsid w:val="004763B4"/>
    <w:pPr>
      <w:ind w:leftChars="200" w:left="420"/>
    </w:pPr>
  </w:style>
  <w:style w:type="paragraph" w:styleId="ae">
    <w:name w:val="Normal (Web)"/>
    <w:basedOn w:val="a"/>
    <w:uiPriority w:val="99"/>
    <w:unhideWhenUsed/>
    <w:rsid w:val="004763B4"/>
    <w:pPr>
      <w:widowControl/>
      <w:spacing w:before="100" w:beforeAutospacing="1" w:after="100" w:afterAutospacing="1"/>
      <w:jc w:val="left"/>
    </w:pPr>
    <w:rPr>
      <w:rFonts w:ascii="宋体" w:hAnsi="宋体" w:cs="宋体"/>
      <w:kern w:val="0"/>
      <w:sz w:val="24"/>
    </w:rPr>
  </w:style>
  <w:style w:type="paragraph" w:styleId="af">
    <w:name w:val="annotation subject"/>
    <w:basedOn w:val="a4"/>
    <w:next w:val="a4"/>
    <w:link w:val="af0"/>
    <w:uiPriority w:val="99"/>
    <w:unhideWhenUsed/>
    <w:qFormat/>
    <w:rsid w:val="004763B4"/>
    <w:rPr>
      <w:b/>
      <w:bCs/>
    </w:rPr>
  </w:style>
  <w:style w:type="character" w:styleId="af1">
    <w:name w:val="page number"/>
    <w:basedOn w:val="a1"/>
    <w:qFormat/>
    <w:rsid w:val="004763B4"/>
  </w:style>
  <w:style w:type="character" w:styleId="af2">
    <w:name w:val="Hyperlink"/>
    <w:qFormat/>
    <w:rsid w:val="004763B4"/>
    <w:rPr>
      <w:color w:val="0000FF"/>
      <w:u w:val="single"/>
    </w:rPr>
  </w:style>
  <w:style w:type="character" w:styleId="af3">
    <w:name w:val="annotation reference"/>
    <w:qFormat/>
    <w:rsid w:val="004763B4"/>
    <w:rPr>
      <w:sz w:val="21"/>
      <w:szCs w:val="21"/>
    </w:rPr>
  </w:style>
  <w:style w:type="paragraph" w:customStyle="1" w:styleId="1">
    <w:name w:val="修订1"/>
    <w:hidden/>
    <w:uiPriority w:val="99"/>
    <w:semiHidden/>
    <w:qFormat/>
    <w:rsid w:val="004763B4"/>
    <w:rPr>
      <w:kern w:val="2"/>
      <w:sz w:val="21"/>
      <w:szCs w:val="24"/>
    </w:rPr>
  </w:style>
  <w:style w:type="paragraph" w:customStyle="1" w:styleId="21">
    <w:name w:val="修订2"/>
    <w:hidden/>
    <w:uiPriority w:val="99"/>
    <w:unhideWhenUsed/>
    <w:qFormat/>
    <w:rsid w:val="004763B4"/>
    <w:rPr>
      <w:kern w:val="2"/>
      <w:sz w:val="21"/>
      <w:szCs w:val="24"/>
    </w:rPr>
  </w:style>
  <w:style w:type="paragraph" w:customStyle="1" w:styleId="3">
    <w:name w:val="修订3"/>
    <w:hidden/>
    <w:uiPriority w:val="99"/>
    <w:unhideWhenUsed/>
    <w:rsid w:val="004763B4"/>
    <w:rPr>
      <w:kern w:val="2"/>
      <w:sz w:val="21"/>
      <w:szCs w:val="24"/>
    </w:rPr>
  </w:style>
  <w:style w:type="paragraph" w:customStyle="1" w:styleId="Default">
    <w:name w:val="Default"/>
    <w:qFormat/>
    <w:rsid w:val="004763B4"/>
    <w:pPr>
      <w:widowControl w:val="0"/>
      <w:autoSpaceDE w:val="0"/>
      <w:autoSpaceDN w:val="0"/>
      <w:adjustRightInd w:val="0"/>
    </w:pPr>
    <w:rPr>
      <w:rFonts w:ascii="Arial Unicode MS" w:eastAsia="Arial Unicode MS" w:cs="Arial Unicode MS"/>
      <w:color w:val="000000"/>
      <w:sz w:val="24"/>
      <w:szCs w:val="24"/>
    </w:rPr>
  </w:style>
  <w:style w:type="character" w:customStyle="1" w:styleId="ad">
    <w:name w:val="页眉 字符"/>
    <w:basedOn w:val="a1"/>
    <w:link w:val="ac"/>
    <w:uiPriority w:val="99"/>
    <w:qFormat/>
    <w:rsid w:val="004763B4"/>
    <w:rPr>
      <w:sz w:val="18"/>
      <w:szCs w:val="18"/>
    </w:rPr>
  </w:style>
  <w:style w:type="character" w:customStyle="1" w:styleId="ab">
    <w:name w:val="页脚 字符"/>
    <w:basedOn w:val="a1"/>
    <w:link w:val="aa"/>
    <w:uiPriority w:val="99"/>
    <w:qFormat/>
    <w:rsid w:val="004763B4"/>
    <w:rPr>
      <w:sz w:val="18"/>
      <w:szCs w:val="18"/>
    </w:rPr>
  </w:style>
  <w:style w:type="character" w:customStyle="1" w:styleId="20">
    <w:name w:val="标题 2 字符"/>
    <w:basedOn w:val="a1"/>
    <w:link w:val="2"/>
    <w:qFormat/>
    <w:rsid w:val="004763B4"/>
    <w:rPr>
      <w:rFonts w:ascii="Arial" w:eastAsia="黑体" w:hAnsi="Arial" w:cs="Times New Roman"/>
      <w:b/>
      <w:kern w:val="0"/>
      <w:sz w:val="32"/>
      <w:szCs w:val="20"/>
    </w:rPr>
  </w:style>
  <w:style w:type="character" w:customStyle="1" w:styleId="a5">
    <w:name w:val="批注文字 字符"/>
    <w:link w:val="a4"/>
    <w:qFormat/>
    <w:rsid w:val="004763B4"/>
    <w:rPr>
      <w:rFonts w:ascii="Times New Roman" w:eastAsia="宋体" w:hAnsi="Times New Roman" w:cs="Times New Roman"/>
      <w:szCs w:val="24"/>
    </w:rPr>
  </w:style>
  <w:style w:type="character" w:customStyle="1" w:styleId="read">
    <w:name w:val="read"/>
    <w:basedOn w:val="a1"/>
    <w:qFormat/>
    <w:rsid w:val="004763B4"/>
  </w:style>
  <w:style w:type="character" w:customStyle="1" w:styleId="a7">
    <w:name w:val="正文文本缩进 字符"/>
    <w:link w:val="a6"/>
    <w:qFormat/>
    <w:rsid w:val="004763B4"/>
    <w:rPr>
      <w:rFonts w:ascii="Times New Roman" w:eastAsia="方正仿宋简体" w:hAnsi="Times New Roman" w:cs="Times New Roman"/>
      <w:sz w:val="24"/>
      <w:szCs w:val="30"/>
    </w:rPr>
  </w:style>
  <w:style w:type="character" w:customStyle="1" w:styleId="Char1">
    <w:name w:val="正文文本缩进 Char1"/>
    <w:basedOn w:val="a1"/>
    <w:uiPriority w:val="99"/>
    <w:semiHidden/>
    <w:qFormat/>
    <w:rsid w:val="004763B4"/>
    <w:rPr>
      <w:rFonts w:ascii="Times New Roman" w:eastAsia="宋体" w:hAnsi="Times New Roman" w:cs="Times New Roman"/>
      <w:szCs w:val="24"/>
    </w:rPr>
  </w:style>
  <w:style w:type="character" w:customStyle="1" w:styleId="Char10">
    <w:name w:val="批注文字 Char1"/>
    <w:basedOn w:val="a1"/>
    <w:uiPriority w:val="99"/>
    <w:semiHidden/>
    <w:qFormat/>
    <w:rsid w:val="004763B4"/>
    <w:rPr>
      <w:rFonts w:ascii="Times New Roman" w:eastAsia="宋体" w:hAnsi="Times New Roman" w:cs="Times New Roman"/>
      <w:szCs w:val="24"/>
    </w:rPr>
  </w:style>
  <w:style w:type="character" w:customStyle="1" w:styleId="a9">
    <w:name w:val="批注框文本 字符"/>
    <w:basedOn w:val="a1"/>
    <w:link w:val="a8"/>
    <w:uiPriority w:val="99"/>
    <w:semiHidden/>
    <w:qFormat/>
    <w:rsid w:val="004763B4"/>
    <w:rPr>
      <w:rFonts w:ascii="Times New Roman" w:eastAsia="宋体" w:hAnsi="Times New Roman" w:cs="Times New Roman"/>
      <w:sz w:val="18"/>
      <w:szCs w:val="18"/>
    </w:rPr>
  </w:style>
  <w:style w:type="character" w:customStyle="1" w:styleId="af0">
    <w:name w:val="批注主题 字符"/>
    <w:basedOn w:val="a5"/>
    <w:link w:val="af"/>
    <w:uiPriority w:val="99"/>
    <w:semiHidden/>
    <w:qFormat/>
    <w:rsid w:val="004763B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B7CFA-9D1F-4D8E-9BE6-A2BF8C4B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4814</Words>
  <Characters>27443</Characters>
  <Application>Microsoft Office Word</Application>
  <DocSecurity>0</DocSecurity>
  <Lines>228</Lines>
  <Paragraphs>64</Paragraphs>
  <ScaleCrop>false</ScaleCrop>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华泰柏瑞上证科创板50成份交易型开放式指数证券投资基金联接基金</dc:title>
  <dc:creator>杜依倩(Du Yiqian)</dc:creator>
  <cp:lastModifiedBy>MAO Wei</cp:lastModifiedBy>
  <cp:revision>21</cp:revision>
  <cp:lastPrinted>2021-02-18T08:39:00Z</cp:lastPrinted>
  <dcterms:created xsi:type="dcterms:W3CDTF">2020-07-10T07:58:00Z</dcterms:created>
  <dcterms:modified xsi:type="dcterms:W3CDTF">2021-02-18T08:42:00Z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