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4DF22" w14:textId="77777777" w:rsidR="00CD14E0" w:rsidRPr="00AE262A" w:rsidRDefault="00CD14E0">
      <w:pPr>
        <w:widowControl/>
        <w:spacing w:line="276" w:lineRule="auto"/>
        <w:ind w:right="270"/>
        <w:rPr>
          <w:rFonts w:ascii="Times New Roman" w:eastAsia="彩虹粗仿宋" w:hAnsi="Times New Roman" w:cs="Times New Roman"/>
          <w:sz w:val="24"/>
          <w:szCs w:val="24"/>
          <w:u w:val="single"/>
        </w:rPr>
      </w:pPr>
      <w:r w:rsidRPr="00AE262A">
        <w:rPr>
          <w:rFonts w:ascii="Times New Roman" w:eastAsia="彩虹粗仿宋" w:hAnsi="Times New Roman" w:cs="Times New Roman"/>
          <w:sz w:val="24"/>
          <w:szCs w:val="24"/>
          <w:u w:val="single"/>
        </w:rPr>
        <w:t>For immediate release</w:t>
      </w:r>
    </w:p>
    <w:p w14:paraId="40311855" w14:textId="77777777" w:rsidR="00CD14E0" w:rsidRPr="00AE262A" w:rsidRDefault="00CD14E0">
      <w:pPr>
        <w:widowControl/>
        <w:spacing w:line="276" w:lineRule="auto"/>
        <w:ind w:right="270"/>
        <w:rPr>
          <w:rFonts w:ascii="Times New Roman" w:eastAsia="彩虹粗仿宋" w:hAnsi="Times New Roman" w:cs="Times New Roman"/>
          <w:sz w:val="24"/>
          <w:szCs w:val="24"/>
        </w:rPr>
      </w:pPr>
    </w:p>
    <w:p w14:paraId="367F4DD2" w14:textId="77777777" w:rsidR="00CD14E0" w:rsidRPr="00AE262A" w:rsidRDefault="00CD14E0">
      <w:pPr>
        <w:widowControl/>
        <w:spacing w:line="276" w:lineRule="auto"/>
        <w:ind w:right="270"/>
        <w:rPr>
          <w:rFonts w:ascii="Times New Roman" w:eastAsia="彩虹粗仿宋" w:hAnsi="Times New Roman" w:cs="Times New Roman"/>
          <w:sz w:val="24"/>
          <w:szCs w:val="24"/>
        </w:rPr>
      </w:pPr>
    </w:p>
    <w:p w14:paraId="4CD93C11" w14:textId="4DCCB337" w:rsidR="00721E7C" w:rsidRPr="00AE262A" w:rsidRDefault="001F4246" w:rsidP="001F4246">
      <w:pPr>
        <w:widowControl/>
        <w:adjustRightInd w:val="0"/>
        <w:snapToGrid w:val="0"/>
        <w:spacing w:line="360" w:lineRule="exact"/>
        <w:ind w:right="274"/>
        <w:jc w:val="center"/>
        <w:rPr>
          <w:rFonts w:ascii="Times New Roman" w:eastAsia="彩虹粗仿宋" w:hAnsi="Times New Roman" w:cs="Times New Roman"/>
          <w:b/>
          <w:bCs/>
          <w:sz w:val="32"/>
          <w:szCs w:val="32"/>
        </w:rPr>
      </w:pPr>
      <w:r w:rsidRPr="00AE262A">
        <w:rPr>
          <w:rFonts w:ascii="Times New Roman" w:eastAsia="彩虹粗仿宋" w:hAnsi="Times New Roman" w:cs="Times New Roman"/>
          <w:b/>
          <w:bCs/>
          <w:sz w:val="32"/>
          <w:szCs w:val="32"/>
        </w:rPr>
        <w:t xml:space="preserve">Pushing </w:t>
      </w:r>
      <w:r w:rsidR="008B24DF">
        <w:rPr>
          <w:rFonts w:ascii="Times New Roman" w:eastAsia="彩虹粗仿宋" w:hAnsi="Times New Roman" w:cs="Times New Roman"/>
          <w:b/>
          <w:bCs/>
          <w:sz w:val="32"/>
          <w:szCs w:val="32"/>
        </w:rPr>
        <w:t>F</w:t>
      </w:r>
      <w:r w:rsidRPr="00AE262A">
        <w:rPr>
          <w:rFonts w:ascii="Times New Roman" w:eastAsia="彩虹粗仿宋" w:hAnsi="Times New Roman" w:cs="Times New Roman"/>
          <w:b/>
          <w:bCs/>
          <w:sz w:val="32"/>
          <w:szCs w:val="32"/>
        </w:rPr>
        <w:t xml:space="preserve">orward </w:t>
      </w:r>
      <w:r w:rsidR="00721E7C" w:rsidRPr="00AE262A">
        <w:rPr>
          <w:rFonts w:ascii="Times New Roman" w:eastAsia="彩虹粗仿宋" w:hAnsi="Times New Roman" w:cs="Times New Roman"/>
          <w:b/>
          <w:bCs/>
          <w:sz w:val="32"/>
          <w:szCs w:val="32"/>
        </w:rPr>
        <w:t>T</w:t>
      </w:r>
      <w:r w:rsidRPr="00AE262A">
        <w:rPr>
          <w:rFonts w:ascii="Times New Roman" w:eastAsia="彩虹粗仿宋" w:hAnsi="Times New Roman" w:cs="Times New Roman"/>
          <w:b/>
          <w:bCs/>
          <w:sz w:val="32"/>
          <w:szCs w:val="32"/>
        </w:rPr>
        <w:t xml:space="preserve">ransformation and </w:t>
      </w:r>
    </w:p>
    <w:p w14:paraId="44E23CA8" w14:textId="26554F96" w:rsidR="001F4246" w:rsidRPr="00AE262A" w:rsidRDefault="00721E7C" w:rsidP="001F4246">
      <w:pPr>
        <w:widowControl/>
        <w:adjustRightInd w:val="0"/>
        <w:snapToGrid w:val="0"/>
        <w:spacing w:line="360" w:lineRule="exact"/>
        <w:ind w:right="274"/>
        <w:jc w:val="center"/>
        <w:rPr>
          <w:rFonts w:ascii="Times New Roman" w:eastAsia="彩虹粗仿宋" w:hAnsi="Times New Roman" w:cs="Times New Roman"/>
          <w:b/>
          <w:bCs/>
          <w:sz w:val="32"/>
          <w:szCs w:val="32"/>
        </w:rPr>
      </w:pPr>
      <w:r w:rsidRPr="00AE262A">
        <w:rPr>
          <w:rFonts w:ascii="Times New Roman" w:eastAsia="彩虹粗仿宋" w:hAnsi="Times New Roman" w:cs="Times New Roman"/>
          <w:b/>
          <w:bCs/>
          <w:sz w:val="32"/>
          <w:szCs w:val="32"/>
        </w:rPr>
        <w:t>E</w:t>
      </w:r>
      <w:r w:rsidR="001F4246" w:rsidRPr="00AE262A">
        <w:rPr>
          <w:rFonts w:ascii="Times New Roman" w:eastAsia="彩虹粗仿宋" w:hAnsi="Times New Roman" w:cs="Times New Roman"/>
          <w:b/>
          <w:bCs/>
          <w:sz w:val="32"/>
          <w:szCs w:val="32"/>
        </w:rPr>
        <w:t xml:space="preserve">nhancing </w:t>
      </w:r>
      <w:r w:rsidR="009B1537">
        <w:rPr>
          <w:rFonts w:ascii="Times New Roman" w:eastAsia="彩虹粗仿宋" w:hAnsi="Times New Roman" w:cs="Times New Roman"/>
          <w:b/>
          <w:bCs/>
          <w:sz w:val="32"/>
          <w:szCs w:val="32"/>
        </w:rPr>
        <w:t>Value Creation</w:t>
      </w:r>
    </w:p>
    <w:p w14:paraId="363DC2C3" w14:textId="77777777" w:rsidR="00721E7C" w:rsidRPr="00AE262A" w:rsidRDefault="00721E7C" w:rsidP="001F4246">
      <w:pPr>
        <w:widowControl/>
        <w:adjustRightInd w:val="0"/>
        <w:snapToGrid w:val="0"/>
        <w:spacing w:line="360" w:lineRule="exact"/>
        <w:ind w:right="274"/>
        <w:jc w:val="center"/>
        <w:rPr>
          <w:rFonts w:ascii="Times New Roman" w:eastAsia="彩虹粗仿宋" w:hAnsi="Times New Roman" w:cs="Times New Roman"/>
          <w:b/>
          <w:bCs/>
          <w:sz w:val="32"/>
          <w:szCs w:val="32"/>
        </w:rPr>
      </w:pPr>
    </w:p>
    <w:p w14:paraId="7A65827C" w14:textId="77777777" w:rsidR="00C63896" w:rsidRPr="00AE262A" w:rsidRDefault="001F4246" w:rsidP="00C63896">
      <w:pPr>
        <w:widowControl/>
        <w:adjustRightInd w:val="0"/>
        <w:snapToGrid w:val="0"/>
        <w:spacing w:line="360" w:lineRule="exact"/>
        <w:ind w:right="-64"/>
        <w:jc w:val="center"/>
        <w:rPr>
          <w:rFonts w:ascii="Times New Roman" w:eastAsia="彩虹粗仿宋" w:hAnsi="Times New Roman" w:cs="Times New Roman"/>
          <w:b/>
          <w:bCs/>
          <w:i/>
          <w:iCs/>
          <w:sz w:val="28"/>
          <w:szCs w:val="28"/>
        </w:rPr>
      </w:pPr>
      <w:r w:rsidRPr="00AE262A">
        <w:rPr>
          <w:rFonts w:ascii="Times New Roman" w:eastAsia="彩虹粗仿宋" w:hAnsi="Times New Roman" w:cs="Times New Roman"/>
          <w:b/>
          <w:bCs/>
          <w:i/>
          <w:iCs/>
          <w:sz w:val="28"/>
          <w:szCs w:val="28"/>
        </w:rPr>
        <w:t>China Construction Bank announces operating results</w:t>
      </w:r>
    </w:p>
    <w:p w14:paraId="234BD279" w14:textId="77777777" w:rsidR="00CD14E0" w:rsidRPr="00AE262A" w:rsidRDefault="001F4246" w:rsidP="00C63896">
      <w:pPr>
        <w:widowControl/>
        <w:adjustRightInd w:val="0"/>
        <w:snapToGrid w:val="0"/>
        <w:spacing w:line="360" w:lineRule="exact"/>
        <w:ind w:right="-64"/>
        <w:jc w:val="center"/>
        <w:rPr>
          <w:rFonts w:ascii="Times New Roman" w:eastAsia="彩虹粗仿宋" w:hAnsi="Times New Roman" w:cs="Times New Roman"/>
          <w:b/>
          <w:bCs/>
          <w:i/>
          <w:iCs/>
          <w:sz w:val="28"/>
          <w:szCs w:val="28"/>
        </w:rPr>
      </w:pPr>
      <w:r w:rsidRPr="00AE262A">
        <w:rPr>
          <w:rFonts w:ascii="Times New Roman" w:eastAsia="彩虹粗仿宋" w:hAnsi="Times New Roman" w:cs="Times New Roman"/>
          <w:b/>
          <w:bCs/>
          <w:i/>
          <w:iCs/>
          <w:sz w:val="28"/>
          <w:szCs w:val="28"/>
        </w:rPr>
        <w:t>for the first half of 2014</w:t>
      </w:r>
    </w:p>
    <w:p w14:paraId="2ED63683" w14:textId="77777777" w:rsidR="00CD14E0" w:rsidRPr="00AE262A" w:rsidRDefault="00CD14E0">
      <w:pPr>
        <w:widowControl/>
        <w:adjustRightInd w:val="0"/>
        <w:snapToGrid w:val="0"/>
        <w:spacing w:line="360" w:lineRule="exact"/>
        <w:ind w:right="274"/>
        <w:jc w:val="center"/>
        <w:rPr>
          <w:rFonts w:ascii="Times New Roman" w:eastAsia="彩虹粗仿宋" w:hAnsi="Times New Roman" w:cs="Times New Roman"/>
          <w:sz w:val="12"/>
          <w:szCs w:val="12"/>
        </w:rPr>
      </w:pPr>
    </w:p>
    <w:p w14:paraId="6AF60F29" w14:textId="3DD19259" w:rsidR="001F4246" w:rsidRPr="00AE262A" w:rsidRDefault="00CD14E0"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b/>
          <w:bCs/>
          <w:sz w:val="24"/>
          <w:szCs w:val="24"/>
        </w:rPr>
        <w:t>Beijing</w:t>
      </w:r>
      <w:r w:rsidR="006D13B8" w:rsidRPr="00AE262A">
        <w:rPr>
          <w:rFonts w:ascii="Times New Roman" w:eastAsia="彩虹粗仿宋" w:hAnsi="Times New Roman" w:cs="Times New Roman"/>
          <w:b/>
          <w:bCs/>
          <w:sz w:val="24"/>
          <w:szCs w:val="24"/>
        </w:rPr>
        <w:t>/Hong Kong</w:t>
      </w:r>
      <w:r w:rsidRPr="00AE262A">
        <w:rPr>
          <w:rFonts w:ascii="Times New Roman" w:eastAsia="彩虹粗仿宋" w:hAnsi="Times New Roman" w:cs="Times New Roman"/>
          <w:b/>
          <w:bCs/>
          <w:sz w:val="24"/>
          <w:szCs w:val="24"/>
        </w:rPr>
        <w:t xml:space="preserve">, </w:t>
      </w:r>
      <w:r w:rsidR="001F4246" w:rsidRPr="00AE262A">
        <w:rPr>
          <w:rFonts w:ascii="Times New Roman" w:eastAsia="彩虹粗仿宋" w:hAnsi="Times New Roman" w:cs="Times New Roman"/>
          <w:b/>
          <w:bCs/>
          <w:sz w:val="24"/>
          <w:szCs w:val="24"/>
        </w:rPr>
        <w:t>29 August</w:t>
      </w:r>
      <w:r w:rsidRPr="00AE262A">
        <w:rPr>
          <w:rFonts w:ascii="Times New Roman" w:eastAsia="彩虹粗仿宋" w:hAnsi="Times New Roman" w:cs="Times New Roman"/>
          <w:b/>
          <w:bCs/>
          <w:sz w:val="24"/>
          <w:szCs w:val="24"/>
        </w:rPr>
        <w:t xml:space="preserve"> 2014 –</w:t>
      </w:r>
      <w:r w:rsidRPr="00AE262A">
        <w:rPr>
          <w:rFonts w:ascii="Times New Roman" w:eastAsia="彩虹粗仿宋" w:hAnsi="Times New Roman" w:cs="Times New Roman"/>
          <w:sz w:val="24"/>
          <w:szCs w:val="24"/>
        </w:rPr>
        <w:t xml:space="preserve"> </w:t>
      </w:r>
      <w:r w:rsidR="001F4246" w:rsidRPr="00AE262A">
        <w:rPr>
          <w:rFonts w:ascii="Times New Roman" w:eastAsia="彩虹粗仿宋" w:hAnsi="Times New Roman" w:cs="Times New Roman"/>
          <w:sz w:val="24"/>
          <w:szCs w:val="24"/>
        </w:rPr>
        <w:t xml:space="preserve">China Construction Bank Corporation (Hong Kong stock code: 939, Shanghai stock code: 601939; “CCB” or the “Bank”) announced its operating results for the first half of 2014 on 29 August 2014. During the first half of 2014, CCB’s total assets amounted to RMB16.4 trillion. Net profit was RMB130,970 million, up 9.17% over the same period of last year. Annualized return on average assets and annualized return on average equity were 1.65% and 22.97% respectively. Net interest margin was 2.80%, </w:t>
      </w:r>
      <w:r w:rsidR="0092392F">
        <w:rPr>
          <w:rFonts w:ascii="Times New Roman" w:eastAsia="彩虹粗仿宋" w:hAnsi="Times New Roman" w:cs="Times New Roman"/>
          <w:sz w:val="24"/>
          <w:szCs w:val="24"/>
        </w:rPr>
        <w:t xml:space="preserve">an </w:t>
      </w:r>
      <w:r w:rsidR="001F4246" w:rsidRPr="00AE262A">
        <w:rPr>
          <w:rFonts w:ascii="Times New Roman" w:eastAsia="彩虹粗仿宋" w:hAnsi="Times New Roman" w:cs="Times New Roman"/>
          <w:sz w:val="24"/>
          <w:szCs w:val="24"/>
        </w:rPr>
        <w:t>increas</w:t>
      </w:r>
      <w:r w:rsidR="0092392F">
        <w:rPr>
          <w:rFonts w:ascii="Times New Roman" w:eastAsia="彩虹粗仿宋" w:hAnsi="Times New Roman" w:cs="Times New Roman"/>
          <w:sz w:val="24"/>
          <w:szCs w:val="24"/>
        </w:rPr>
        <w:t>e of</w:t>
      </w:r>
      <w:r w:rsidR="001F4246" w:rsidRPr="00AE262A">
        <w:rPr>
          <w:rFonts w:ascii="Times New Roman" w:eastAsia="彩虹粗仿宋" w:hAnsi="Times New Roman" w:cs="Times New Roman"/>
          <w:sz w:val="24"/>
          <w:szCs w:val="24"/>
        </w:rPr>
        <w:t xml:space="preserve"> nine basis points over the</w:t>
      </w:r>
      <w:r w:rsidR="006D13B8" w:rsidRPr="00AE262A">
        <w:rPr>
          <w:rFonts w:ascii="Times New Roman" w:eastAsia="彩虹粗仿宋" w:hAnsi="Times New Roman" w:cs="Times New Roman"/>
          <w:sz w:val="24"/>
          <w:szCs w:val="24"/>
        </w:rPr>
        <w:t xml:space="preserve"> same period of last year. The B</w:t>
      </w:r>
      <w:r w:rsidR="001F4246" w:rsidRPr="00AE262A">
        <w:rPr>
          <w:rFonts w:ascii="Times New Roman" w:eastAsia="彩虹粗仿宋" w:hAnsi="Times New Roman" w:cs="Times New Roman"/>
          <w:sz w:val="24"/>
          <w:szCs w:val="24"/>
        </w:rPr>
        <w:t>ank’s key financial indicators continued to lead the market.</w:t>
      </w:r>
    </w:p>
    <w:p w14:paraId="7CB09459"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1D380F4C" w14:textId="167296B4"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As shown in the interim report, the steady growth of the Bank’s profitability was mainly due to the following factors:</w:t>
      </w:r>
      <w:r w:rsidR="006D13B8" w:rsidRPr="00AE262A">
        <w:rPr>
          <w:rFonts w:ascii="Times New Roman" w:eastAsia="彩虹粗仿宋" w:hAnsi="Times New Roman" w:cs="Times New Roman"/>
          <w:sz w:val="24"/>
          <w:szCs w:val="24"/>
        </w:rPr>
        <w:t xml:space="preserve"> </w:t>
      </w:r>
      <w:r w:rsidR="00141B0E">
        <w:rPr>
          <w:rFonts w:ascii="Times New Roman" w:eastAsia="彩虹粗仿宋" w:hAnsi="Times New Roman" w:cs="Times New Roman"/>
          <w:sz w:val="24"/>
          <w:szCs w:val="24"/>
        </w:rPr>
        <w:t xml:space="preserve">a </w:t>
      </w:r>
      <w:r w:rsidRPr="00AE262A">
        <w:rPr>
          <w:rFonts w:ascii="Times New Roman" w:eastAsia="彩虹粗仿宋" w:hAnsi="Times New Roman" w:cs="Times New Roman"/>
          <w:sz w:val="24"/>
          <w:szCs w:val="24"/>
        </w:rPr>
        <w:t>moderate increase in interest-bearing assets result</w:t>
      </w:r>
      <w:r w:rsidR="00141B0E">
        <w:rPr>
          <w:rFonts w:ascii="Times New Roman" w:eastAsia="彩虹粗仿宋" w:hAnsi="Times New Roman" w:cs="Times New Roman"/>
          <w:sz w:val="24"/>
          <w:szCs w:val="24"/>
        </w:rPr>
        <w:t>ed</w:t>
      </w:r>
      <w:r w:rsidRPr="00AE262A">
        <w:rPr>
          <w:rFonts w:ascii="Times New Roman" w:eastAsia="彩虹粗仿宋" w:hAnsi="Times New Roman" w:cs="Times New Roman"/>
          <w:sz w:val="24"/>
          <w:szCs w:val="24"/>
        </w:rPr>
        <w:t xml:space="preserve"> in stable growth of </w:t>
      </w:r>
      <w:r w:rsidR="00164AAC">
        <w:rPr>
          <w:rFonts w:ascii="Times New Roman" w:eastAsia="彩虹粗仿宋" w:hAnsi="Times New Roman" w:cs="Times New Roman" w:hint="eastAsia"/>
          <w:sz w:val="24"/>
          <w:szCs w:val="24"/>
        </w:rPr>
        <w:t>net interest margin</w:t>
      </w:r>
      <w:r w:rsidRPr="00AE262A">
        <w:rPr>
          <w:rFonts w:ascii="Times New Roman" w:eastAsia="彩虹粗仿宋" w:hAnsi="Times New Roman" w:cs="Times New Roman"/>
          <w:sz w:val="24"/>
          <w:szCs w:val="24"/>
        </w:rPr>
        <w:t>; service and product innovation</w:t>
      </w:r>
      <w:r w:rsidR="00141B0E">
        <w:rPr>
          <w:rFonts w:ascii="Times New Roman" w:eastAsia="彩虹粗仿宋" w:hAnsi="Times New Roman" w:cs="Times New Roman"/>
          <w:sz w:val="24"/>
          <w:szCs w:val="24"/>
        </w:rPr>
        <w:t xml:space="preserve"> drove</w:t>
      </w:r>
      <w:r w:rsidRPr="00AE262A">
        <w:rPr>
          <w:rFonts w:ascii="Times New Roman" w:eastAsia="彩虹粗仿宋" w:hAnsi="Times New Roman" w:cs="Times New Roman"/>
          <w:sz w:val="24"/>
          <w:szCs w:val="24"/>
        </w:rPr>
        <w:t xml:space="preserve"> notable growth </w:t>
      </w:r>
      <w:r w:rsidR="00141B0E">
        <w:rPr>
          <w:rFonts w:ascii="Times New Roman" w:eastAsia="彩虹粗仿宋" w:hAnsi="Times New Roman" w:cs="Times New Roman"/>
          <w:sz w:val="24"/>
          <w:szCs w:val="24"/>
        </w:rPr>
        <w:t>in</w:t>
      </w:r>
      <w:r w:rsidRPr="00AE262A">
        <w:rPr>
          <w:rFonts w:ascii="Times New Roman" w:eastAsia="彩虹粗仿宋" w:hAnsi="Times New Roman" w:cs="Times New Roman"/>
          <w:sz w:val="24"/>
          <w:szCs w:val="24"/>
        </w:rPr>
        <w:t xml:space="preserve"> the </w:t>
      </w:r>
      <w:r w:rsidR="006D13B8" w:rsidRPr="00AE262A">
        <w:rPr>
          <w:rFonts w:ascii="Times New Roman" w:eastAsia="彩虹粗仿宋" w:hAnsi="Times New Roman" w:cs="Times New Roman"/>
          <w:sz w:val="24"/>
          <w:szCs w:val="24"/>
        </w:rPr>
        <w:t>B</w:t>
      </w:r>
      <w:r w:rsidRPr="00AE262A">
        <w:rPr>
          <w:rFonts w:ascii="Times New Roman" w:eastAsia="彩虹粗仿宋" w:hAnsi="Times New Roman" w:cs="Times New Roman"/>
          <w:sz w:val="24"/>
          <w:szCs w:val="24"/>
        </w:rPr>
        <w:t>ank’s fee-based business amid structur</w:t>
      </w:r>
      <w:r w:rsidR="00164AAC">
        <w:rPr>
          <w:rFonts w:ascii="Times New Roman" w:eastAsia="彩虹粗仿宋" w:hAnsi="Times New Roman" w:cs="Times New Roman" w:hint="eastAsia"/>
          <w:sz w:val="24"/>
          <w:szCs w:val="24"/>
        </w:rPr>
        <w:t>al</w:t>
      </w:r>
      <w:r w:rsidRPr="00AE262A">
        <w:rPr>
          <w:rFonts w:ascii="Times New Roman" w:eastAsia="彩虹粗仿宋" w:hAnsi="Times New Roman" w:cs="Times New Roman"/>
          <w:sz w:val="24"/>
          <w:szCs w:val="24"/>
        </w:rPr>
        <w:t xml:space="preserve"> adjustment; </w:t>
      </w:r>
      <w:r w:rsidR="00CB6EEC">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further strengthening of cost control and </w:t>
      </w:r>
      <w:r w:rsidR="00CB6EEC">
        <w:rPr>
          <w:rFonts w:ascii="Times New Roman" w:eastAsia="彩虹粗仿宋" w:hAnsi="Times New Roman" w:cs="Times New Roman"/>
          <w:sz w:val="24"/>
          <w:szCs w:val="24"/>
        </w:rPr>
        <w:t xml:space="preserve">the </w:t>
      </w:r>
      <w:r w:rsidR="004852CB" w:rsidRPr="00AE262A">
        <w:rPr>
          <w:rFonts w:ascii="Times New Roman" w:eastAsia="彩虹粗仿宋" w:hAnsi="Times New Roman" w:cs="Times New Roman"/>
          <w:sz w:val="24"/>
          <w:szCs w:val="24"/>
        </w:rPr>
        <w:t>optimization</w:t>
      </w:r>
      <w:r w:rsidRPr="00AE262A">
        <w:rPr>
          <w:rFonts w:ascii="Times New Roman" w:eastAsia="彩虹粗仿宋" w:hAnsi="Times New Roman" w:cs="Times New Roman"/>
          <w:sz w:val="24"/>
          <w:szCs w:val="24"/>
        </w:rPr>
        <w:t xml:space="preserve"> of </w:t>
      </w:r>
      <w:r w:rsidR="00CB6EEC">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expense structure contribut</w:t>
      </w:r>
      <w:r w:rsidR="00141B0E">
        <w:rPr>
          <w:rFonts w:ascii="Times New Roman" w:eastAsia="彩虹粗仿宋" w:hAnsi="Times New Roman" w:cs="Times New Roman"/>
          <w:sz w:val="24"/>
          <w:szCs w:val="24"/>
        </w:rPr>
        <w:t>ed</w:t>
      </w:r>
      <w:r w:rsidRPr="00AE262A">
        <w:rPr>
          <w:rFonts w:ascii="Times New Roman" w:eastAsia="彩虹粗仿宋" w:hAnsi="Times New Roman" w:cs="Times New Roman"/>
          <w:sz w:val="24"/>
          <w:szCs w:val="24"/>
        </w:rPr>
        <w:t xml:space="preserve"> to a decrease in the Bank’s cost-to-income ratio by 0.45 </w:t>
      </w:r>
      <w:r w:rsidR="003D4E5A" w:rsidRPr="00AE262A">
        <w:rPr>
          <w:rFonts w:ascii="Times New Roman" w:eastAsia="彩虹粗仿宋" w:hAnsi="Times New Roman" w:cs="Times New Roman"/>
          <w:sz w:val="24"/>
          <w:szCs w:val="24"/>
        </w:rPr>
        <w:t>percentage point</w:t>
      </w:r>
      <w:r w:rsidRPr="00AE262A">
        <w:rPr>
          <w:rFonts w:ascii="Times New Roman" w:eastAsia="彩虹粗仿宋" w:hAnsi="Times New Roman" w:cs="Times New Roman"/>
          <w:sz w:val="24"/>
          <w:szCs w:val="24"/>
        </w:rPr>
        <w:t xml:space="preserve"> to 24.18%.</w:t>
      </w:r>
    </w:p>
    <w:p w14:paraId="0AAF9EEB"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0E705BB7" w14:textId="5D5561E8" w:rsidR="001F4246" w:rsidRPr="00AE262A" w:rsidRDefault="001F4246" w:rsidP="001F4246">
      <w:pPr>
        <w:widowControl/>
        <w:spacing w:line="276" w:lineRule="auto"/>
        <w:ind w:right="-58"/>
        <w:rPr>
          <w:rFonts w:ascii="Times New Roman" w:eastAsia="彩虹粗仿宋" w:hAnsi="Times New Roman" w:cs="Times New Roman"/>
          <w:b/>
          <w:sz w:val="24"/>
          <w:szCs w:val="24"/>
        </w:rPr>
      </w:pPr>
      <w:r w:rsidRPr="00AE262A">
        <w:rPr>
          <w:rFonts w:ascii="Times New Roman" w:eastAsia="彩虹粗仿宋" w:hAnsi="Times New Roman" w:cs="Times New Roman"/>
          <w:b/>
          <w:sz w:val="24"/>
          <w:szCs w:val="24"/>
        </w:rPr>
        <w:t xml:space="preserve">Achieved good market performance </w:t>
      </w:r>
      <w:r w:rsidR="004D7873">
        <w:rPr>
          <w:rFonts w:ascii="Times New Roman" w:eastAsia="彩虹粗仿宋" w:hAnsi="Times New Roman" w:cs="Times New Roman"/>
          <w:b/>
          <w:sz w:val="24"/>
          <w:szCs w:val="24"/>
        </w:rPr>
        <w:t>and</w:t>
      </w:r>
      <w:r w:rsidR="004D7873" w:rsidRPr="00AE262A">
        <w:rPr>
          <w:rFonts w:ascii="Times New Roman" w:eastAsia="彩虹粗仿宋" w:hAnsi="Times New Roman" w:cs="Times New Roman"/>
          <w:b/>
          <w:sz w:val="24"/>
          <w:szCs w:val="24"/>
        </w:rPr>
        <w:t xml:space="preserve"> </w:t>
      </w:r>
      <w:r w:rsidRPr="00AE262A">
        <w:rPr>
          <w:rFonts w:ascii="Times New Roman" w:eastAsia="彩虹粗仿宋" w:hAnsi="Times New Roman" w:cs="Times New Roman"/>
          <w:b/>
          <w:sz w:val="24"/>
          <w:szCs w:val="24"/>
        </w:rPr>
        <w:t>stable growth in all business segments</w:t>
      </w:r>
    </w:p>
    <w:p w14:paraId="077B33C1" w14:textId="5DAD9FB1"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According to the interim report, CCB’s profitability grew steadily during the first half of 2014 and posted a profit before tax of RMB169,516 million, up 9.23% over the same period of last year. Net profit was RMB130,970 million, an increase of 9.17% compared with the same period of last year. Operating income increased </w:t>
      </w:r>
      <w:r w:rsidR="00BA1F45">
        <w:rPr>
          <w:rFonts w:ascii="Times New Roman" w:eastAsia="彩虹粗仿宋" w:hAnsi="Times New Roman" w:cs="Times New Roman" w:hint="eastAsia"/>
          <w:sz w:val="24"/>
          <w:szCs w:val="24"/>
        </w:rPr>
        <w:t xml:space="preserve">by </w:t>
      </w:r>
      <w:r w:rsidRPr="00AE262A">
        <w:rPr>
          <w:rFonts w:ascii="Times New Roman" w:eastAsia="彩虹粗仿宋" w:hAnsi="Times New Roman" w:cs="Times New Roman"/>
          <w:sz w:val="24"/>
          <w:szCs w:val="24"/>
        </w:rPr>
        <w:t xml:space="preserve">9.68% over the same period of last year to RMB276,727 million. Net interest income increased by 12.59% and net interest margin (NIM) </w:t>
      </w:r>
      <w:r w:rsidR="009A1B79" w:rsidRPr="00AE262A">
        <w:rPr>
          <w:rFonts w:ascii="Times New Roman" w:eastAsia="彩虹粗仿宋" w:hAnsi="Times New Roman" w:cs="Times New Roman"/>
          <w:sz w:val="24"/>
          <w:szCs w:val="24"/>
        </w:rPr>
        <w:t>stood at</w:t>
      </w:r>
      <w:r w:rsidRPr="00AE262A">
        <w:rPr>
          <w:rFonts w:ascii="Times New Roman" w:eastAsia="彩虹粗仿宋" w:hAnsi="Times New Roman" w:cs="Times New Roman"/>
          <w:sz w:val="24"/>
          <w:szCs w:val="24"/>
        </w:rPr>
        <w:t xml:space="preserve"> 2.80%, an increase of nine basis points over the same period of last year. Net fee and commission income increased by 8.39% and accounted for 21.75% of the operating income. Cost-to-income ratio was 24.18%, 0.45</w:t>
      </w:r>
      <w:r w:rsidR="009A1B79" w:rsidRPr="00AE262A">
        <w:rPr>
          <w:rFonts w:ascii="Times New Roman" w:eastAsia="彩虹粗仿宋" w:hAnsi="Times New Roman" w:cs="Times New Roman"/>
          <w:sz w:val="24"/>
          <w:szCs w:val="24"/>
        </w:rPr>
        <w:t xml:space="preserve"> percentage</w:t>
      </w:r>
      <w:r w:rsidRPr="00AE262A">
        <w:rPr>
          <w:rFonts w:ascii="Times New Roman" w:eastAsia="彩虹粗仿宋" w:hAnsi="Times New Roman" w:cs="Times New Roman"/>
          <w:sz w:val="24"/>
          <w:szCs w:val="24"/>
        </w:rPr>
        <w:t xml:space="preserve"> point lower than the figure in the </w:t>
      </w:r>
      <w:r w:rsidRPr="00AE262A">
        <w:rPr>
          <w:rFonts w:ascii="Times New Roman" w:eastAsia="彩虹粗仿宋" w:hAnsi="Times New Roman" w:cs="Times New Roman"/>
          <w:sz w:val="24"/>
          <w:szCs w:val="24"/>
        </w:rPr>
        <w:lastRenderedPageBreak/>
        <w:t>same period of last year. The Bank’s total capital ratio and common equity tier one ratio were 13.89% and 11.21%</w:t>
      </w:r>
      <w:r w:rsidR="00141B0E">
        <w:rPr>
          <w:rFonts w:ascii="Times New Roman" w:eastAsia="彩虹粗仿宋" w:hAnsi="Times New Roman" w:cs="Times New Roman"/>
          <w:sz w:val="24"/>
          <w:szCs w:val="24"/>
        </w:rPr>
        <w:t xml:space="preserve"> respectively</w:t>
      </w:r>
      <w:r w:rsidRPr="00AE262A">
        <w:rPr>
          <w:rFonts w:ascii="Times New Roman" w:eastAsia="彩虹粗仿宋" w:hAnsi="Times New Roman" w:cs="Times New Roman"/>
          <w:sz w:val="24"/>
          <w:szCs w:val="24"/>
        </w:rPr>
        <w:t xml:space="preserve">, </w:t>
      </w:r>
      <w:r w:rsidR="00141B0E">
        <w:rPr>
          <w:rFonts w:ascii="Times New Roman" w:eastAsia="彩虹粗仿宋" w:hAnsi="Times New Roman" w:cs="Times New Roman"/>
          <w:sz w:val="24"/>
          <w:szCs w:val="24"/>
        </w:rPr>
        <w:t xml:space="preserve">making </w:t>
      </w:r>
      <w:r w:rsidR="00222F9F">
        <w:rPr>
          <w:rFonts w:ascii="Times New Roman" w:eastAsia="彩虹粗仿宋" w:hAnsi="Times New Roman" w:cs="Times New Roman" w:hint="eastAsia"/>
          <w:sz w:val="24"/>
          <w:szCs w:val="24"/>
        </w:rPr>
        <w:t>the Bank</w:t>
      </w:r>
      <w:r w:rsidR="00141B0E">
        <w:rPr>
          <w:rFonts w:ascii="Times New Roman" w:eastAsia="彩虹粗仿宋" w:hAnsi="Times New Roman" w:cs="Times New Roman"/>
          <w:sz w:val="24"/>
          <w:szCs w:val="24"/>
        </w:rPr>
        <w:t xml:space="preserve"> </w:t>
      </w:r>
      <w:r w:rsidR="00D8700B">
        <w:rPr>
          <w:rFonts w:ascii="Times New Roman" w:eastAsia="PMingLiU" w:hAnsi="Times New Roman" w:cs="Times New Roman" w:hint="eastAsia"/>
          <w:sz w:val="24"/>
          <w:szCs w:val="24"/>
          <w:lang w:eastAsia="zh-HK"/>
        </w:rPr>
        <w:t>a</w:t>
      </w:r>
      <w:r w:rsidR="00141B0E">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lead</w:t>
      </w:r>
      <w:r w:rsidR="00141B0E">
        <w:rPr>
          <w:rFonts w:ascii="Times New Roman" w:eastAsia="彩虹粗仿宋" w:hAnsi="Times New Roman" w:cs="Times New Roman"/>
          <w:sz w:val="24"/>
          <w:szCs w:val="24"/>
        </w:rPr>
        <w:t>er</w:t>
      </w:r>
      <w:r w:rsidRPr="00AE262A">
        <w:rPr>
          <w:rFonts w:ascii="Times New Roman" w:eastAsia="彩虹粗仿宋" w:hAnsi="Times New Roman" w:cs="Times New Roman"/>
          <w:sz w:val="24"/>
          <w:szCs w:val="24"/>
        </w:rPr>
        <w:t xml:space="preserve"> among peers.</w:t>
      </w:r>
    </w:p>
    <w:p w14:paraId="1C7D3667" w14:textId="77777777" w:rsidR="001F4246" w:rsidRPr="005B2B77" w:rsidRDefault="001F4246" w:rsidP="001F4246">
      <w:pPr>
        <w:widowControl/>
        <w:spacing w:line="276" w:lineRule="auto"/>
        <w:ind w:right="-58"/>
        <w:rPr>
          <w:rFonts w:ascii="Times New Roman" w:eastAsia="彩虹粗仿宋" w:hAnsi="Times New Roman" w:cs="Times New Roman"/>
          <w:sz w:val="24"/>
          <w:szCs w:val="24"/>
        </w:rPr>
      </w:pPr>
    </w:p>
    <w:p w14:paraId="0A9CC53E" w14:textId="3775C120"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CCB achieved stable growth</w:t>
      </w:r>
      <w:r w:rsidR="00371751">
        <w:rPr>
          <w:rFonts w:ascii="Times New Roman" w:eastAsia="彩虹粗仿宋" w:hAnsi="Times New Roman" w:cs="Times New Roman"/>
          <w:sz w:val="24"/>
          <w:szCs w:val="24"/>
        </w:rPr>
        <w:t xml:space="preserve"> of</w:t>
      </w:r>
      <w:r w:rsidRPr="00AE262A">
        <w:rPr>
          <w:rFonts w:ascii="Times New Roman" w:eastAsia="彩虹粗仿宋" w:hAnsi="Times New Roman" w:cs="Times New Roman"/>
          <w:sz w:val="24"/>
          <w:szCs w:val="24"/>
        </w:rPr>
        <w:t xml:space="preserve"> assets and liabilities. As at the end of June, total assets increased by 6.75% over the </w:t>
      </w:r>
      <w:r w:rsidR="000C3FEA">
        <w:rPr>
          <w:rFonts w:ascii="Times New Roman" w:eastAsia="彩虹粗仿宋" w:hAnsi="Times New Roman" w:cs="Times New Roman" w:hint="eastAsia"/>
          <w:sz w:val="24"/>
          <w:szCs w:val="24"/>
        </w:rPr>
        <w:t>end</w:t>
      </w:r>
      <w:r w:rsidRPr="00AE262A">
        <w:rPr>
          <w:rFonts w:ascii="Times New Roman" w:eastAsia="彩虹粗仿宋" w:hAnsi="Times New Roman" w:cs="Times New Roman"/>
          <w:sz w:val="24"/>
          <w:szCs w:val="24"/>
        </w:rPr>
        <w:t xml:space="preserve"> of last year to RMB16,399,790 million. Gross loans and advances to customers increased by 6.99% to RMB 9,190,601 million. Total liabilities amounted to RMB15,252,778 million, an increase of 6.75% over the end of last year. Deposits from customers rose by 6.00% to RMB 12,956,956 million.</w:t>
      </w:r>
    </w:p>
    <w:p w14:paraId="3B479B5D" w14:textId="77777777" w:rsidR="00F673CE" w:rsidRPr="00AE262A" w:rsidRDefault="00F673CE" w:rsidP="00F673CE">
      <w:pPr>
        <w:widowControl/>
        <w:spacing w:line="276" w:lineRule="auto"/>
        <w:ind w:right="-58"/>
        <w:rPr>
          <w:rFonts w:ascii="Times New Roman" w:eastAsia="彩虹粗仿宋" w:hAnsi="Times New Roman" w:cs="Times New Roman"/>
          <w:sz w:val="24"/>
          <w:szCs w:val="24"/>
        </w:rPr>
      </w:pPr>
    </w:p>
    <w:p w14:paraId="45200F55" w14:textId="5FC587E6" w:rsidR="00F673CE" w:rsidRPr="00AE262A" w:rsidRDefault="00F673CE" w:rsidP="00F673CE">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The Bank further strengthened its customer base. By focusing on client funds management and services, the Bank established a </w:t>
      </w:r>
      <w:r w:rsidR="00755E53">
        <w:rPr>
          <w:rFonts w:ascii="Times New Roman" w:eastAsia="彩虹粗仿宋" w:hAnsi="Times New Roman" w:cs="Times New Roman"/>
          <w:sz w:val="24"/>
          <w:szCs w:val="24"/>
        </w:rPr>
        <w:t>system</w:t>
      </w:r>
      <w:r w:rsidRPr="00AE262A">
        <w:rPr>
          <w:rFonts w:ascii="Times New Roman" w:eastAsia="彩虹粗仿宋" w:hAnsi="Times New Roman" w:cs="Times New Roman"/>
          <w:sz w:val="24"/>
          <w:szCs w:val="24"/>
        </w:rPr>
        <w:t xml:space="preserve"> to drive </w:t>
      </w:r>
      <w:r w:rsidR="00755E53">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internal circulation of client funds in order to boost the take-up rate of </w:t>
      </w:r>
      <w:r w:rsidR="006E46C2">
        <w:rPr>
          <w:rFonts w:ascii="Times New Roman" w:eastAsia="彩虹粗仿宋" w:hAnsi="Times New Roman" w:cs="Times New Roman" w:hint="eastAsia"/>
          <w:sz w:val="24"/>
          <w:szCs w:val="24"/>
        </w:rPr>
        <w:t xml:space="preserve">business-related </w:t>
      </w:r>
      <w:r w:rsidRPr="00AE262A">
        <w:rPr>
          <w:rFonts w:ascii="Times New Roman" w:eastAsia="彩虹粗仿宋" w:hAnsi="Times New Roman" w:cs="Times New Roman"/>
          <w:sz w:val="24"/>
          <w:szCs w:val="24"/>
        </w:rPr>
        <w:t xml:space="preserve">funds. The product innovation </w:t>
      </w:r>
      <w:r w:rsidR="00371751">
        <w:rPr>
          <w:rFonts w:ascii="Times New Roman" w:eastAsia="彩虹粗仿宋" w:hAnsi="Times New Roman" w:cs="Times New Roman"/>
          <w:sz w:val="24"/>
          <w:szCs w:val="24"/>
        </w:rPr>
        <w:t xml:space="preserve">system </w:t>
      </w:r>
      <w:r w:rsidRPr="00AE262A">
        <w:rPr>
          <w:rFonts w:ascii="Times New Roman" w:eastAsia="彩虹粗仿宋" w:hAnsi="Times New Roman" w:cs="Times New Roman"/>
          <w:sz w:val="24"/>
          <w:szCs w:val="24"/>
        </w:rPr>
        <w:t>operated smoothly and resulted in faster response to customers’ demand</w:t>
      </w:r>
      <w:r w:rsidR="009D28FC" w:rsidRPr="00AE262A">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As at the end of June, CCB had 3,268,900 corporate and institutional customers, representing an increase of 203,500, or 6.64%, over the end of last year. The number of the Bank’s personal customers rose by 9.21 million</w:t>
      </w:r>
      <w:r w:rsidR="00A7649D" w:rsidRPr="00A7649D">
        <w:rPr>
          <w:rFonts w:ascii="Times New Roman" w:eastAsia="彩虹粗仿宋" w:hAnsi="Times New Roman" w:cs="Times New Roman"/>
          <w:sz w:val="24"/>
          <w:szCs w:val="24"/>
        </w:rPr>
        <w:t xml:space="preserve"> </w:t>
      </w:r>
      <w:r w:rsidR="00A7649D" w:rsidRPr="00AE262A">
        <w:rPr>
          <w:rFonts w:ascii="Times New Roman" w:eastAsia="彩虹粗仿宋" w:hAnsi="Times New Roman" w:cs="Times New Roman"/>
          <w:sz w:val="24"/>
          <w:szCs w:val="24"/>
        </w:rPr>
        <w:t>to nearly 300 million</w:t>
      </w:r>
      <w:r w:rsidRPr="00AE262A">
        <w:rPr>
          <w:rFonts w:ascii="Times New Roman" w:eastAsia="彩虹粗仿宋" w:hAnsi="Times New Roman" w:cs="Times New Roman"/>
          <w:sz w:val="24"/>
          <w:szCs w:val="24"/>
        </w:rPr>
        <w:t xml:space="preserve">, </w:t>
      </w:r>
      <w:r w:rsidR="009D28FC" w:rsidRPr="00AE262A">
        <w:rPr>
          <w:rFonts w:ascii="Times New Roman" w:eastAsia="彩虹粗仿宋" w:hAnsi="Times New Roman" w:cs="Times New Roman"/>
          <w:sz w:val="24"/>
          <w:szCs w:val="24"/>
        </w:rPr>
        <w:t xml:space="preserve">up </w:t>
      </w:r>
      <w:r w:rsidRPr="00AE262A">
        <w:rPr>
          <w:rFonts w:ascii="Times New Roman" w:eastAsia="彩虹粗仿宋" w:hAnsi="Times New Roman" w:cs="Times New Roman"/>
          <w:sz w:val="24"/>
          <w:szCs w:val="24"/>
        </w:rPr>
        <w:t xml:space="preserve">3.17% over the end of last year. Online banking customers increased by </w:t>
      </w:r>
      <w:r w:rsidR="003D6368">
        <w:rPr>
          <w:rFonts w:ascii="Times New Roman" w:eastAsia="彩虹粗仿宋" w:hAnsi="Times New Roman" w:cs="Times New Roman"/>
          <w:sz w:val="24"/>
          <w:szCs w:val="24"/>
        </w:rPr>
        <w:t>9.23%</w:t>
      </w:r>
      <w:r w:rsidRPr="00AE262A">
        <w:rPr>
          <w:rFonts w:ascii="Times New Roman" w:eastAsia="彩虹粗仿宋" w:hAnsi="Times New Roman" w:cs="Times New Roman"/>
          <w:sz w:val="24"/>
          <w:szCs w:val="24"/>
        </w:rPr>
        <w:t xml:space="preserve"> over the end of last year to 167 million. Mobile phone banking customers grew by 12.56% to 131 million.</w:t>
      </w:r>
    </w:p>
    <w:p w14:paraId="79F913D4"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637AB80E" w14:textId="2A70E8FF" w:rsidR="001F4246" w:rsidRPr="00AE262A" w:rsidRDefault="009D28FC"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The Bank </w:t>
      </w:r>
      <w:r w:rsidR="005B2B77" w:rsidRPr="00AE262A">
        <w:rPr>
          <w:rFonts w:ascii="Times New Roman" w:eastAsia="彩虹粗仿宋" w:hAnsi="Times New Roman" w:cs="Times New Roman"/>
          <w:sz w:val="24"/>
          <w:szCs w:val="24"/>
        </w:rPr>
        <w:t>optimized</w:t>
      </w:r>
      <w:r w:rsidRPr="00AE262A">
        <w:rPr>
          <w:rFonts w:ascii="Times New Roman" w:eastAsia="彩虹粗仿宋" w:hAnsi="Times New Roman" w:cs="Times New Roman"/>
          <w:sz w:val="24"/>
          <w:szCs w:val="24"/>
        </w:rPr>
        <w:t xml:space="preserve"> its business</w:t>
      </w:r>
      <w:r w:rsidR="001F4246"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channels </w:t>
      </w:r>
      <w:r w:rsidR="001F4246" w:rsidRPr="00AE262A">
        <w:rPr>
          <w:rFonts w:ascii="Times New Roman" w:eastAsia="彩虹粗仿宋" w:hAnsi="Times New Roman" w:cs="Times New Roman"/>
          <w:sz w:val="24"/>
          <w:szCs w:val="24"/>
        </w:rPr>
        <w:t xml:space="preserve">and pushed forward the </w:t>
      </w:r>
      <w:r w:rsidR="008A7CD9" w:rsidRPr="00AE262A">
        <w:rPr>
          <w:rFonts w:ascii="Times New Roman" w:eastAsia="彩虹粗仿宋" w:hAnsi="Times New Roman" w:cs="Times New Roman"/>
          <w:sz w:val="24"/>
          <w:szCs w:val="24"/>
        </w:rPr>
        <w:t>tran</w:t>
      </w:r>
      <w:r w:rsidR="008A7CD9">
        <w:rPr>
          <w:rFonts w:ascii="Times New Roman" w:eastAsia="彩虹粗仿宋" w:hAnsi="Times New Roman" w:cs="Times New Roman"/>
          <w:sz w:val="24"/>
          <w:szCs w:val="24"/>
        </w:rPr>
        <w:t xml:space="preserve">sformation </w:t>
      </w:r>
      <w:r w:rsidR="008A7CD9">
        <w:rPr>
          <w:rFonts w:ascii="Times New Roman" w:eastAsia="彩虹粗仿宋" w:hAnsi="Times New Roman" w:cs="Times New Roman" w:hint="eastAsia"/>
          <w:sz w:val="24"/>
          <w:szCs w:val="24"/>
        </w:rPr>
        <w:t>from</w:t>
      </w:r>
      <w:r w:rsidR="008A7CD9" w:rsidRPr="00AE262A">
        <w:rPr>
          <w:rFonts w:ascii="Times New Roman" w:eastAsia="彩虹粗仿宋" w:hAnsi="Times New Roman" w:cs="Times New Roman"/>
          <w:sz w:val="24"/>
          <w:szCs w:val="24"/>
        </w:rPr>
        <w:t xml:space="preserve"> traditional counter services </w:t>
      </w:r>
      <w:r w:rsidR="008A7CD9">
        <w:rPr>
          <w:rFonts w:ascii="Times New Roman" w:eastAsia="彩虹粗仿宋" w:hAnsi="Times New Roman" w:cs="Times New Roman" w:hint="eastAsia"/>
          <w:sz w:val="24"/>
          <w:szCs w:val="24"/>
        </w:rPr>
        <w:t xml:space="preserve">to comprehensive </w:t>
      </w:r>
      <w:r w:rsidR="00403824" w:rsidRPr="00AE262A">
        <w:rPr>
          <w:rFonts w:ascii="Times New Roman" w:eastAsia="彩虹粗仿宋" w:hAnsi="Times New Roman" w:cs="Times New Roman"/>
          <w:sz w:val="24"/>
          <w:szCs w:val="24"/>
        </w:rPr>
        <w:t>electronic</w:t>
      </w:r>
      <w:r w:rsidR="00403824">
        <w:rPr>
          <w:rFonts w:ascii="Times New Roman" w:eastAsia="彩虹粗仿宋" w:hAnsi="Times New Roman" w:cs="Times New Roman"/>
          <w:sz w:val="24"/>
          <w:szCs w:val="24"/>
        </w:rPr>
        <w:t xml:space="preserve"> services</w:t>
      </w:r>
      <w:r w:rsidR="001F4246" w:rsidRPr="00AE262A">
        <w:rPr>
          <w:rFonts w:ascii="Times New Roman" w:eastAsia="彩虹粗仿宋" w:hAnsi="Times New Roman" w:cs="Times New Roman"/>
          <w:sz w:val="24"/>
          <w:szCs w:val="24"/>
        </w:rPr>
        <w:t xml:space="preserve">. </w:t>
      </w:r>
      <w:r w:rsidR="008008B4">
        <w:rPr>
          <w:rFonts w:ascii="Times New Roman" w:eastAsia="彩虹粗仿宋" w:hAnsi="Times New Roman" w:cs="Times New Roman" w:hint="eastAsia"/>
          <w:sz w:val="24"/>
          <w:szCs w:val="24"/>
        </w:rPr>
        <w:t xml:space="preserve">To enhance </w:t>
      </w:r>
      <w:r w:rsidRPr="00AE262A">
        <w:rPr>
          <w:rFonts w:ascii="Times New Roman" w:eastAsia="彩虹粗仿宋" w:hAnsi="Times New Roman" w:cs="Times New Roman"/>
          <w:sz w:val="24"/>
          <w:szCs w:val="24"/>
        </w:rPr>
        <w:t xml:space="preserve">information </w:t>
      </w:r>
      <w:r w:rsidR="008008B4">
        <w:rPr>
          <w:rFonts w:ascii="Times New Roman" w:eastAsia="彩虹粗仿宋" w:hAnsi="Times New Roman" w:cs="Times New Roman" w:hint="eastAsia"/>
          <w:sz w:val="24"/>
          <w:szCs w:val="24"/>
        </w:rPr>
        <w:t>architecture</w:t>
      </w:r>
      <w:r w:rsidRPr="00AE262A">
        <w:rPr>
          <w:rFonts w:ascii="Times New Roman" w:eastAsia="彩虹粗仿宋" w:hAnsi="Times New Roman" w:cs="Times New Roman"/>
          <w:sz w:val="24"/>
          <w:szCs w:val="24"/>
        </w:rPr>
        <w:t xml:space="preserve">, </w:t>
      </w:r>
      <w:r w:rsidR="008008B4">
        <w:rPr>
          <w:rFonts w:ascii="Times New Roman" w:eastAsia="彩虹粗仿宋" w:hAnsi="Times New Roman" w:cs="Times New Roman" w:hint="eastAsia"/>
          <w:sz w:val="24"/>
          <w:szCs w:val="24"/>
        </w:rPr>
        <w:t>process management</w:t>
      </w:r>
      <w:r w:rsidR="008008B4" w:rsidRPr="00AE262A">
        <w:rPr>
          <w:rFonts w:ascii="Times New Roman" w:eastAsia="彩虹粗仿宋" w:hAnsi="Times New Roman" w:cs="Times New Roman"/>
          <w:sz w:val="24"/>
          <w:szCs w:val="24"/>
        </w:rPr>
        <w:t xml:space="preserve"> </w:t>
      </w:r>
      <w:r w:rsidR="001F4246" w:rsidRPr="00AE262A">
        <w:rPr>
          <w:rFonts w:ascii="Times New Roman" w:eastAsia="彩虹粗仿宋" w:hAnsi="Times New Roman" w:cs="Times New Roman"/>
          <w:sz w:val="24"/>
          <w:szCs w:val="24"/>
        </w:rPr>
        <w:t xml:space="preserve">and business intelligence, the Bank made </w:t>
      </w:r>
      <w:r w:rsidR="00371751">
        <w:rPr>
          <w:rFonts w:ascii="Times New Roman" w:eastAsia="彩虹粗仿宋" w:hAnsi="Times New Roman" w:cs="Times New Roman"/>
          <w:sz w:val="24"/>
          <w:szCs w:val="24"/>
        </w:rPr>
        <w:t xml:space="preserve">full </w:t>
      </w:r>
      <w:r w:rsidR="001F4246" w:rsidRPr="00AE262A">
        <w:rPr>
          <w:rFonts w:ascii="Times New Roman" w:eastAsia="彩虹粗仿宋" w:hAnsi="Times New Roman" w:cs="Times New Roman"/>
          <w:sz w:val="24"/>
          <w:szCs w:val="24"/>
        </w:rPr>
        <w:t>use of</w:t>
      </w:r>
      <w:r w:rsidR="00371751">
        <w:rPr>
          <w:rFonts w:ascii="Times New Roman" w:eastAsia="彩虹粗仿宋" w:hAnsi="Times New Roman" w:cs="Times New Roman"/>
          <w:sz w:val="24"/>
          <w:szCs w:val="24"/>
        </w:rPr>
        <w:t xml:space="preserve"> </w:t>
      </w:r>
      <w:r w:rsidR="008008B4">
        <w:rPr>
          <w:rFonts w:ascii="Times New Roman" w:eastAsia="彩虹粗仿宋" w:hAnsi="Times New Roman" w:cs="Times New Roman" w:hint="eastAsia"/>
          <w:sz w:val="24"/>
          <w:szCs w:val="24"/>
        </w:rPr>
        <w:t xml:space="preserve">information technology </w:t>
      </w:r>
      <w:r w:rsidR="001F4246" w:rsidRPr="00AE262A">
        <w:rPr>
          <w:rFonts w:ascii="Times New Roman" w:eastAsia="彩虹粗仿宋" w:hAnsi="Times New Roman" w:cs="Times New Roman"/>
          <w:sz w:val="24"/>
          <w:szCs w:val="24"/>
        </w:rPr>
        <w:t xml:space="preserve">and big data in </w:t>
      </w:r>
      <w:r w:rsidR="008008B4">
        <w:rPr>
          <w:rFonts w:ascii="Times New Roman" w:eastAsia="彩虹粗仿宋" w:hAnsi="Times New Roman" w:cs="Times New Roman" w:hint="eastAsia"/>
          <w:sz w:val="24"/>
          <w:szCs w:val="24"/>
        </w:rPr>
        <w:t xml:space="preserve">operation and </w:t>
      </w:r>
      <w:r w:rsidR="001F4246" w:rsidRPr="00AE262A">
        <w:rPr>
          <w:rFonts w:ascii="Times New Roman" w:eastAsia="彩虹粗仿宋" w:hAnsi="Times New Roman" w:cs="Times New Roman"/>
          <w:sz w:val="24"/>
          <w:szCs w:val="24"/>
        </w:rPr>
        <w:t>management. As at the end of June, the Bank</w:t>
      </w:r>
      <w:r w:rsidR="00371751">
        <w:rPr>
          <w:rFonts w:ascii="Times New Roman" w:eastAsia="彩虹粗仿宋" w:hAnsi="Times New Roman" w:cs="Times New Roman"/>
          <w:sz w:val="24"/>
          <w:szCs w:val="24"/>
        </w:rPr>
        <w:t xml:space="preserve">’s service network was further expanded </w:t>
      </w:r>
      <w:r w:rsidR="00377E47">
        <w:rPr>
          <w:rFonts w:ascii="Times New Roman" w:eastAsia="彩虹粗仿宋" w:hAnsi="Times New Roman" w:cs="Times New Roman" w:hint="eastAsia"/>
          <w:sz w:val="24"/>
          <w:szCs w:val="24"/>
        </w:rPr>
        <w:t xml:space="preserve">with </w:t>
      </w:r>
      <w:r w:rsidR="001F4246" w:rsidRPr="00AE262A">
        <w:rPr>
          <w:rFonts w:ascii="Times New Roman" w:eastAsia="彩虹粗仿宋" w:hAnsi="Times New Roman" w:cs="Times New Roman"/>
          <w:sz w:val="24"/>
          <w:szCs w:val="24"/>
        </w:rPr>
        <w:t xml:space="preserve">a total of 14,707 operating outlets nationwide. The number of </w:t>
      </w:r>
      <w:r w:rsidR="00377E47">
        <w:rPr>
          <w:rFonts w:ascii="Times New Roman" w:eastAsia="彩虹粗仿宋" w:hAnsi="Times New Roman" w:cs="Times New Roman" w:hint="eastAsia"/>
          <w:sz w:val="24"/>
          <w:szCs w:val="24"/>
        </w:rPr>
        <w:t>self-service equipment</w:t>
      </w:r>
      <w:r w:rsidR="00377E47" w:rsidRPr="00AE262A">
        <w:rPr>
          <w:rFonts w:ascii="Times New Roman" w:eastAsia="彩虹粗仿宋" w:hAnsi="Times New Roman" w:cs="Times New Roman"/>
          <w:sz w:val="24"/>
          <w:szCs w:val="24"/>
        </w:rPr>
        <w:t xml:space="preserve"> </w:t>
      </w:r>
      <w:r w:rsidR="001F4246" w:rsidRPr="00AE262A">
        <w:rPr>
          <w:rFonts w:ascii="Times New Roman" w:eastAsia="彩虹粗仿宋" w:hAnsi="Times New Roman" w:cs="Times New Roman"/>
          <w:sz w:val="24"/>
          <w:szCs w:val="24"/>
        </w:rPr>
        <w:t xml:space="preserve">increased </w:t>
      </w:r>
      <w:r w:rsidR="000522A6">
        <w:rPr>
          <w:rFonts w:ascii="Times New Roman" w:eastAsia="彩虹粗仿宋" w:hAnsi="Times New Roman" w:cs="Times New Roman"/>
          <w:sz w:val="24"/>
          <w:szCs w:val="24"/>
        </w:rPr>
        <w:t xml:space="preserve">by </w:t>
      </w:r>
      <w:r w:rsidR="001F4246" w:rsidRPr="00AE262A">
        <w:rPr>
          <w:rFonts w:ascii="Times New Roman" w:eastAsia="彩虹粗仿宋" w:hAnsi="Times New Roman" w:cs="Times New Roman"/>
          <w:sz w:val="24"/>
          <w:szCs w:val="24"/>
        </w:rPr>
        <w:t xml:space="preserve">3,115 </w:t>
      </w:r>
      <w:r w:rsidR="005B16C3" w:rsidRPr="00AE262A">
        <w:rPr>
          <w:rFonts w:ascii="Times New Roman" w:eastAsia="彩虹粗仿宋" w:hAnsi="Times New Roman" w:cs="Times New Roman"/>
          <w:sz w:val="24"/>
          <w:szCs w:val="24"/>
        </w:rPr>
        <w:t>to 72,128</w:t>
      </w:r>
      <w:r w:rsidR="005B16C3">
        <w:rPr>
          <w:rFonts w:ascii="Times New Roman" w:eastAsia="彩虹粗仿宋" w:hAnsi="Times New Roman" w:cs="Times New Roman" w:hint="eastAsia"/>
          <w:sz w:val="24"/>
          <w:szCs w:val="24"/>
        </w:rPr>
        <w:t xml:space="preserve"> </w:t>
      </w:r>
      <w:r w:rsidR="001F4246" w:rsidRPr="00AE262A">
        <w:rPr>
          <w:rFonts w:ascii="Times New Roman" w:eastAsia="彩虹粗仿宋" w:hAnsi="Times New Roman" w:cs="Times New Roman"/>
          <w:sz w:val="24"/>
          <w:szCs w:val="24"/>
        </w:rPr>
        <w:t xml:space="preserve">over the end of last year. The ratio of the accounting transaction volume through electronic banking and self-service channels to the total volume rose </w:t>
      </w:r>
      <w:r w:rsidR="005C4EB9">
        <w:rPr>
          <w:rFonts w:ascii="Times New Roman" w:eastAsia="彩虹粗仿宋" w:hAnsi="Times New Roman" w:cs="Times New Roman" w:hint="eastAsia"/>
          <w:sz w:val="24"/>
          <w:szCs w:val="24"/>
        </w:rPr>
        <w:t xml:space="preserve">by </w:t>
      </w:r>
      <w:r w:rsidR="001F4246" w:rsidRPr="00AE262A">
        <w:rPr>
          <w:rFonts w:ascii="Times New Roman" w:eastAsia="彩虹粗仿宋" w:hAnsi="Times New Roman" w:cs="Times New Roman"/>
          <w:sz w:val="24"/>
          <w:szCs w:val="24"/>
        </w:rPr>
        <w:t xml:space="preserve">1.15 </w:t>
      </w:r>
      <w:r w:rsidR="005C4EB9">
        <w:rPr>
          <w:rFonts w:ascii="Times New Roman" w:eastAsia="彩虹粗仿宋" w:hAnsi="Times New Roman" w:cs="Times New Roman" w:hint="eastAsia"/>
          <w:sz w:val="24"/>
          <w:szCs w:val="24"/>
        </w:rPr>
        <w:t>percentage</w:t>
      </w:r>
      <w:r w:rsidR="005C4EB9" w:rsidRPr="00AE262A">
        <w:rPr>
          <w:rFonts w:ascii="Times New Roman" w:eastAsia="彩虹粗仿宋" w:hAnsi="Times New Roman" w:cs="Times New Roman"/>
          <w:sz w:val="24"/>
          <w:szCs w:val="24"/>
        </w:rPr>
        <w:t xml:space="preserve"> </w:t>
      </w:r>
      <w:r w:rsidR="001F4246" w:rsidRPr="00AE262A">
        <w:rPr>
          <w:rFonts w:ascii="Times New Roman" w:eastAsia="彩虹粗仿宋" w:hAnsi="Times New Roman" w:cs="Times New Roman"/>
          <w:sz w:val="24"/>
          <w:szCs w:val="24"/>
        </w:rPr>
        <w:t>points over the end of last year to 86.55%.</w:t>
      </w:r>
    </w:p>
    <w:p w14:paraId="75F3DDA7" w14:textId="77777777" w:rsidR="001F4246" w:rsidRPr="005C4EB9" w:rsidRDefault="001F4246" w:rsidP="001F4246">
      <w:pPr>
        <w:widowControl/>
        <w:spacing w:line="276" w:lineRule="auto"/>
        <w:ind w:right="-58"/>
        <w:rPr>
          <w:rFonts w:ascii="Times New Roman" w:eastAsia="彩虹粗仿宋" w:hAnsi="Times New Roman" w:cs="Times New Roman"/>
          <w:sz w:val="24"/>
          <w:szCs w:val="24"/>
        </w:rPr>
      </w:pPr>
    </w:p>
    <w:p w14:paraId="278B5771" w14:textId="77777777" w:rsidR="001F4246" w:rsidRPr="00AE262A" w:rsidRDefault="001F4246" w:rsidP="001F4246">
      <w:pPr>
        <w:widowControl/>
        <w:spacing w:line="276" w:lineRule="auto"/>
        <w:ind w:right="-58"/>
        <w:rPr>
          <w:rFonts w:ascii="Times New Roman" w:eastAsia="彩虹粗仿宋" w:hAnsi="Times New Roman" w:cs="Times New Roman"/>
          <w:b/>
          <w:sz w:val="24"/>
          <w:szCs w:val="24"/>
        </w:rPr>
      </w:pPr>
      <w:r w:rsidRPr="00AE262A">
        <w:rPr>
          <w:rFonts w:ascii="Times New Roman" w:eastAsia="彩虹粗仿宋" w:hAnsi="Times New Roman" w:cs="Times New Roman"/>
          <w:b/>
          <w:sz w:val="24"/>
          <w:szCs w:val="24"/>
        </w:rPr>
        <w:t>Stepped up credit structure adjustment and actively supported the real economy</w:t>
      </w:r>
    </w:p>
    <w:p w14:paraId="27A642A0" w14:textId="6F8EC1A2"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During the first half of 2014, CCB appropriately allocated its resources to facilitate economic development and industry upgrade. It focused on increasing the supply of financing and its ability to support key areas </w:t>
      </w:r>
      <w:r w:rsidR="00C35602">
        <w:rPr>
          <w:rFonts w:ascii="Times New Roman" w:eastAsia="彩虹粗仿宋" w:hAnsi="Times New Roman" w:cs="Times New Roman" w:hint="eastAsia"/>
          <w:sz w:val="24"/>
          <w:szCs w:val="24"/>
        </w:rPr>
        <w:t>important</w:t>
      </w:r>
      <w:r w:rsidRPr="00AE262A">
        <w:rPr>
          <w:rFonts w:ascii="Times New Roman" w:eastAsia="彩虹粗仿宋" w:hAnsi="Times New Roman" w:cs="Times New Roman"/>
          <w:sz w:val="24"/>
          <w:szCs w:val="24"/>
        </w:rPr>
        <w:t xml:space="preserve"> </w:t>
      </w:r>
      <w:r w:rsidR="009520C9">
        <w:rPr>
          <w:rFonts w:ascii="Times New Roman" w:eastAsia="彩虹粗仿宋" w:hAnsi="Times New Roman" w:cs="Times New Roman"/>
          <w:sz w:val="24"/>
          <w:szCs w:val="24"/>
        </w:rPr>
        <w:t>for</w:t>
      </w:r>
      <w:r w:rsidRPr="00AE262A">
        <w:rPr>
          <w:rFonts w:ascii="Times New Roman" w:eastAsia="彩虹粗仿宋" w:hAnsi="Times New Roman" w:cs="Times New Roman"/>
          <w:sz w:val="24"/>
          <w:szCs w:val="24"/>
        </w:rPr>
        <w:t xml:space="preserve"> national welfare and people’s livelihood. </w:t>
      </w:r>
      <w:r w:rsidR="009520C9">
        <w:rPr>
          <w:rFonts w:ascii="Times New Roman" w:eastAsia="彩虹粗仿宋" w:hAnsi="Times New Roman" w:cs="Times New Roman"/>
          <w:sz w:val="24"/>
          <w:szCs w:val="24"/>
        </w:rPr>
        <w:t>An i</w:t>
      </w:r>
      <w:r w:rsidRPr="00AE262A">
        <w:rPr>
          <w:rFonts w:ascii="Times New Roman" w:eastAsia="彩虹粗仿宋" w:hAnsi="Times New Roman" w:cs="Times New Roman"/>
          <w:sz w:val="24"/>
          <w:szCs w:val="24"/>
        </w:rPr>
        <w:t xml:space="preserve">ncrease in loans to infrastructure accounted for 47.26% of the </w:t>
      </w:r>
      <w:r w:rsidR="00E03DC9">
        <w:rPr>
          <w:rFonts w:ascii="Times New Roman" w:eastAsia="彩虹粗仿宋" w:hAnsi="Times New Roman" w:cs="Times New Roman" w:hint="eastAsia"/>
          <w:sz w:val="24"/>
          <w:szCs w:val="24"/>
        </w:rPr>
        <w:t>incremental</w:t>
      </w:r>
      <w:r w:rsidRPr="00AE262A">
        <w:rPr>
          <w:rFonts w:ascii="Times New Roman" w:eastAsia="彩虹粗仿宋" w:hAnsi="Times New Roman" w:cs="Times New Roman"/>
          <w:sz w:val="24"/>
          <w:szCs w:val="24"/>
        </w:rPr>
        <w:t xml:space="preserve"> corporate loans. The Bank actively supported the development of small and micro </w:t>
      </w:r>
      <w:r w:rsidR="009D28FC" w:rsidRPr="00AE262A">
        <w:rPr>
          <w:rFonts w:ascii="Times New Roman" w:eastAsia="彩虹粗仿宋" w:hAnsi="Times New Roman" w:cs="Times New Roman"/>
          <w:sz w:val="24"/>
          <w:szCs w:val="24"/>
        </w:rPr>
        <w:t>businesses,</w:t>
      </w:r>
      <w:r w:rsidRPr="00AE262A">
        <w:rPr>
          <w:rFonts w:ascii="Times New Roman" w:eastAsia="彩虹粗仿宋" w:hAnsi="Times New Roman" w:cs="Times New Roman"/>
          <w:sz w:val="24"/>
          <w:szCs w:val="24"/>
        </w:rPr>
        <w:t xml:space="preserve"> </w:t>
      </w:r>
      <w:r w:rsidR="00B47729">
        <w:rPr>
          <w:rFonts w:ascii="Times New Roman" w:eastAsia="彩虹粗仿宋" w:hAnsi="Times New Roman" w:cs="Times New Roman"/>
          <w:sz w:val="24"/>
          <w:szCs w:val="24"/>
        </w:rPr>
        <w:t>“</w:t>
      </w:r>
      <w:r w:rsidRPr="00AE262A">
        <w:rPr>
          <w:rFonts w:ascii="Times New Roman" w:eastAsia="彩虹粗仿宋" w:hAnsi="Times New Roman" w:cs="Times New Roman"/>
          <w:sz w:val="24"/>
          <w:szCs w:val="24"/>
        </w:rPr>
        <w:t>agriculture, farmers and rural areas</w:t>
      </w:r>
      <w:r w:rsidR="00B47729">
        <w:rPr>
          <w:rFonts w:ascii="Times New Roman" w:eastAsia="彩虹粗仿宋" w:hAnsi="Times New Roman" w:cs="Times New Roman"/>
          <w:sz w:val="24"/>
          <w:szCs w:val="24"/>
        </w:rPr>
        <w:t>”</w:t>
      </w:r>
      <w:r w:rsidRPr="00AE262A">
        <w:rPr>
          <w:rFonts w:ascii="Times New Roman" w:eastAsia="彩虹粗仿宋" w:hAnsi="Times New Roman" w:cs="Times New Roman"/>
          <w:sz w:val="24"/>
          <w:szCs w:val="24"/>
        </w:rPr>
        <w:t xml:space="preserve">, as well as </w:t>
      </w:r>
      <w:r w:rsidR="0003140E">
        <w:rPr>
          <w:rFonts w:ascii="Times New Roman" w:eastAsia="彩虹粗仿宋" w:hAnsi="Times New Roman" w:cs="Times New Roman" w:hint="eastAsia"/>
          <w:sz w:val="24"/>
          <w:szCs w:val="24"/>
        </w:rPr>
        <w:t>people</w:t>
      </w:r>
      <w:r w:rsidR="0003140E">
        <w:rPr>
          <w:rFonts w:ascii="Times New Roman" w:eastAsia="彩虹粗仿宋" w:hAnsi="Times New Roman" w:cs="Times New Roman"/>
          <w:sz w:val="24"/>
          <w:szCs w:val="24"/>
        </w:rPr>
        <w:t>’</w:t>
      </w:r>
      <w:r w:rsidR="0003140E">
        <w:rPr>
          <w:rFonts w:ascii="Times New Roman" w:eastAsia="彩虹粗仿宋" w:hAnsi="Times New Roman" w:cs="Times New Roman" w:hint="eastAsia"/>
          <w:sz w:val="24"/>
          <w:szCs w:val="24"/>
        </w:rPr>
        <w:t xml:space="preserve">s </w:t>
      </w:r>
      <w:r w:rsidR="0003140E">
        <w:rPr>
          <w:rFonts w:ascii="Times New Roman" w:eastAsia="彩虹粗仿宋" w:hAnsi="Times New Roman" w:cs="Times New Roman" w:hint="eastAsia"/>
          <w:sz w:val="24"/>
          <w:szCs w:val="24"/>
        </w:rPr>
        <w:lastRenderedPageBreak/>
        <w:t>livelihood</w:t>
      </w:r>
      <w:r w:rsidRPr="009520C9">
        <w:rPr>
          <w:rFonts w:ascii="Times New Roman" w:eastAsia="彩虹粗仿宋" w:hAnsi="Times New Roman" w:cs="Times New Roman"/>
          <w:sz w:val="24"/>
          <w:szCs w:val="24"/>
        </w:rPr>
        <w:t>.</w:t>
      </w:r>
      <w:r w:rsidRPr="00AE262A">
        <w:rPr>
          <w:rFonts w:ascii="Times New Roman" w:eastAsia="彩虹粗仿宋" w:hAnsi="Times New Roman" w:cs="Times New Roman"/>
          <w:sz w:val="24"/>
          <w:szCs w:val="24"/>
        </w:rPr>
        <w:t xml:space="preserve"> During the first half of the year, the Bank granted a total of RMB494</w:t>
      </w:r>
      <w:proofErr w:type="gramStart"/>
      <w:r w:rsidRPr="00AE262A">
        <w:rPr>
          <w:rFonts w:ascii="Times New Roman" w:eastAsia="彩虹粗仿宋" w:hAnsi="Times New Roman" w:cs="Times New Roman"/>
          <w:sz w:val="24"/>
          <w:szCs w:val="24"/>
        </w:rPr>
        <w:t>,277</w:t>
      </w:r>
      <w:proofErr w:type="gramEnd"/>
      <w:r w:rsidRPr="00AE262A">
        <w:rPr>
          <w:rFonts w:ascii="Times New Roman" w:eastAsia="彩虹粗仿宋" w:hAnsi="Times New Roman" w:cs="Times New Roman"/>
          <w:sz w:val="24"/>
          <w:szCs w:val="24"/>
        </w:rPr>
        <w:t xml:space="preserve"> million credit funds to 96,500 small and micro enterprises, and increased agriculture-related loans by RMB80,7</w:t>
      </w:r>
      <w:r w:rsidR="007808FF">
        <w:rPr>
          <w:rFonts w:ascii="Times New Roman" w:eastAsia="彩虹粗仿宋" w:hAnsi="Times New Roman" w:cs="Times New Roman"/>
          <w:sz w:val="24"/>
          <w:szCs w:val="24"/>
        </w:rPr>
        <w:t>40</w:t>
      </w:r>
      <w:r w:rsidRPr="00AE262A">
        <w:rPr>
          <w:rFonts w:ascii="Times New Roman" w:eastAsia="彩虹粗仿宋" w:hAnsi="Times New Roman" w:cs="Times New Roman"/>
          <w:sz w:val="24"/>
          <w:szCs w:val="24"/>
        </w:rPr>
        <w:t xml:space="preserve"> million. The Bank promoted its “Minben Tongda” comprehensive financial service solution </w:t>
      </w:r>
      <w:r w:rsidR="00161609">
        <w:rPr>
          <w:rFonts w:ascii="Times New Roman" w:eastAsia="彩虹粗仿宋" w:hAnsi="Times New Roman" w:cs="Times New Roman" w:hint="eastAsia"/>
          <w:sz w:val="24"/>
          <w:szCs w:val="24"/>
        </w:rPr>
        <w:t xml:space="preserve">with loan balance of </w:t>
      </w:r>
      <w:r w:rsidRPr="00AE262A">
        <w:rPr>
          <w:rFonts w:ascii="Times New Roman" w:eastAsia="彩虹粗仿宋" w:hAnsi="Times New Roman" w:cs="Times New Roman"/>
          <w:sz w:val="24"/>
          <w:szCs w:val="24"/>
        </w:rPr>
        <w:t>RMB238,</w:t>
      </w:r>
      <w:r w:rsidR="007808FF">
        <w:rPr>
          <w:rFonts w:ascii="Times New Roman" w:eastAsia="彩虹粗仿宋" w:hAnsi="Times New Roman" w:cs="Times New Roman"/>
          <w:sz w:val="24"/>
          <w:szCs w:val="24"/>
        </w:rPr>
        <w:t>77</w:t>
      </w:r>
      <w:bookmarkStart w:id="0" w:name="_GoBack"/>
      <w:bookmarkEnd w:id="0"/>
      <w:r w:rsidR="007808FF">
        <w:rPr>
          <w:rFonts w:ascii="Times New Roman" w:eastAsia="彩虹粗仿宋" w:hAnsi="Times New Roman" w:cs="Times New Roman"/>
          <w:sz w:val="24"/>
          <w:szCs w:val="24"/>
        </w:rPr>
        <w:t>6</w:t>
      </w:r>
      <w:r w:rsidRPr="00AE262A">
        <w:rPr>
          <w:rFonts w:ascii="Times New Roman" w:eastAsia="彩虹粗仿宋" w:hAnsi="Times New Roman" w:cs="Times New Roman"/>
          <w:sz w:val="24"/>
          <w:szCs w:val="24"/>
        </w:rPr>
        <w:t xml:space="preserve"> million </w:t>
      </w:r>
      <w:r w:rsidR="009520C9">
        <w:rPr>
          <w:rFonts w:ascii="Times New Roman" w:eastAsia="彩虹粗仿宋" w:hAnsi="Times New Roman" w:cs="Times New Roman"/>
          <w:sz w:val="24"/>
          <w:szCs w:val="24"/>
        </w:rPr>
        <w:t>in</w:t>
      </w:r>
      <w:r w:rsidRPr="00AE262A">
        <w:rPr>
          <w:rFonts w:ascii="Times New Roman" w:eastAsia="彩虹粗仿宋" w:hAnsi="Times New Roman" w:cs="Times New Roman"/>
          <w:sz w:val="24"/>
          <w:szCs w:val="24"/>
        </w:rPr>
        <w:t xml:space="preserve"> loans to </w:t>
      </w:r>
      <w:r w:rsidR="00127AE5">
        <w:rPr>
          <w:rFonts w:ascii="Times New Roman" w:eastAsia="彩虹粗仿宋" w:hAnsi="Times New Roman" w:cs="Times New Roman"/>
          <w:sz w:val="24"/>
          <w:szCs w:val="24"/>
        </w:rPr>
        <w:t>the welfare</w:t>
      </w:r>
      <w:r w:rsidR="00127AE5"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sectors. The Bank also expanded financing channels for the constru</w:t>
      </w:r>
      <w:r w:rsidR="00D6621A" w:rsidRPr="00AE262A">
        <w:rPr>
          <w:rFonts w:ascii="Times New Roman" w:eastAsia="彩虹粗仿宋" w:hAnsi="Times New Roman" w:cs="Times New Roman"/>
          <w:sz w:val="24"/>
          <w:szCs w:val="24"/>
        </w:rPr>
        <w:t>ction of indemnificatory houses</w:t>
      </w:r>
      <w:r w:rsidRPr="00AE262A">
        <w:rPr>
          <w:rFonts w:ascii="Times New Roman" w:eastAsia="彩虹粗仿宋" w:hAnsi="Times New Roman" w:cs="Times New Roman"/>
          <w:sz w:val="24"/>
          <w:szCs w:val="24"/>
        </w:rPr>
        <w:t xml:space="preserve"> and the loan balance amounted to RMB81,161 million. </w:t>
      </w:r>
      <w:r w:rsidR="009520C9">
        <w:rPr>
          <w:rFonts w:ascii="Times New Roman" w:eastAsia="彩虹粗仿宋" w:hAnsi="Times New Roman" w:cs="Times New Roman"/>
          <w:sz w:val="24"/>
          <w:szCs w:val="24"/>
        </w:rPr>
        <w:t>In addition</w:t>
      </w:r>
      <w:r w:rsidRPr="00AE262A">
        <w:rPr>
          <w:rFonts w:ascii="Times New Roman" w:eastAsia="彩虹粗仿宋" w:hAnsi="Times New Roman" w:cs="Times New Roman"/>
          <w:sz w:val="24"/>
          <w:szCs w:val="24"/>
        </w:rPr>
        <w:t>,</w:t>
      </w:r>
      <w:r w:rsidR="009520C9">
        <w:rPr>
          <w:rFonts w:ascii="Times New Roman" w:eastAsia="彩虹粗仿宋" w:hAnsi="Times New Roman" w:cs="Times New Roman"/>
          <w:sz w:val="24"/>
          <w:szCs w:val="24"/>
        </w:rPr>
        <w:t xml:space="preserve"> </w:t>
      </w:r>
      <w:r w:rsidR="002C2470">
        <w:rPr>
          <w:rFonts w:ascii="Times New Roman" w:eastAsia="彩虹粗仿宋" w:hAnsi="Times New Roman" w:cs="Times New Roman" w:hint="eastAsia"/>
          <w:sz w:val="24"/>
          <w:szCs w:val="24"/>
        </w:rPr>
        <w:t>the Bank</w:t>
      </w:r>
      <w:r w:rsidR="002C2470"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captured opportunities arising from economic restructuring </w:t>
      </w:r>
      <w:r w:rsidR="00DF2A27">
        <w:rPr>
          <w:rFonts w:ascii="Times New Roman" w:eastAsia="彩虹粗仿宋" w:hAnsi="Times New Roman" w:cs="Times New Roman"/>
          <w:sz w:val="24"/>
          <w:szCs w:val="24"/>
        </w:rPr>
        <w:t xml:space="preserve">in order </w:t>
      </w:r>
      <w:r w:rsidRPr="00AE262A">
        <w:rPr>
          <w:rFonts w:ascii="Times New Roman" w:eastAsia="彩虹粗仿宋" w:hAnsi="Times New Roman" w:cs="Times New Roman"/>
          <w:sz w:val="24"/>
          <w:szCs w:val="24"/>
        </w:rPr>
        <w:t>to adjust its credit structure. During the first half</w:t>
      </w:r>
      <w:r w:rsidR="00DF2A27">
        <w:rPr>
          <w:rFonts w:ascii="Times New Roman" w:eastAsia="彩虹粗仿宋" w:hAnsi="Times New Roman" w:cs="Times New Roman"/>
          <w:sz w:val="24"/>
          <w:szCs w:val="24"/>
        </w:rPr>
        <w:t xml:space="preserve"> of the year</w:t>
      </w:r>
      <w:r w:rsidRPr="00AE262A">
        <w:rPr>
          <w:rFonts w:ascii="Times New Roman" w:eastAsia="彩虹粗仿宋" w:hAnsi="Times New Roman" w:cs="Times New Roman"/>
          <w:sz w:val="24"/>
          <w:szCs w:val="24"/>
        </w:rPr>
        <w:t xml:space="preserve">, </w:t>
      </w:r>
      <w:r w:rsidR="008F79C9">
        <w:rPr>
          <w:rFonts w:ascii="Times New Roman" w:eastAsia="彩虹粗仿宋" w:hAnsi="Times New Roman" w:cs="Times New Roman" w:hint="eastAsia"/>
          <w:sz w:val="24"/>
          <w:szCs w:val="24"/>
        </w:rPr>
        <w:t>domestic</w:t>
      </w:r>
      <w:r w:rsidR="008F79C9" w:rsidRPr="00DC7778">
        <w:rPr>
          <w:rFonts w:ascii="Times New Roman" w:eastAsia="彩虹粗仿宋" w:hAnsi="Times New Roman" w:cs="Times New Roman"/>
          <w:sz w:val="24"/>
          <w:szCs w:val="24"/>
        </w:rPr>
        <w:t xml:space="preserve"> </w:t>
      </w:r>
      <w:r w:rsidRPr="00DC7778">
        <w:rPr>
          <w:rFonts w:ascii="Times New Roman" w:eastAsia="彩虹粗仿宋" w:hAnsi="Times New Roman" w:cs="Times New Roman"/>
          <w:sz w:val="24"/>
          <w:szCs w:val="24"/>
        </w:rPr>
        <w:t xml:space="preserve">retail loans increment </w:t>
      </w:r>
      <w:r w:rsidR="00DC7778" w:rsidRPr="00DC7778">
        <w:rPr>
          <w:rFonts w:ascii="Times New Roman" w:eastAsia="彩虹粗仿宋" w:hAnsi="Times New Roman" w:cs="Times New Roman"/>
          <w:sz w:val="24"/>
          <w:szCs w:val="24"/>
        </w:rPr>
        <w:t xml:space="preserve">accounted for </w:t>
      </w:r>
      <w:r w:rsidR="007808FF">
        <w:rPr>
          <w:rFonts w:ascii="Times New Roman" w:eastAsia="彩虹粗仿宋" w:hAnsi="Times New Roman" w:cs="Times New Roman"/>
          <w:sz w:val="24"/>
          <w:szCs w:val="24"/>
        </w:rPr>
        <w:t>53.88%</w:t>
      </w:r>
      <w:r w:rsidR="00DC7778" w:rsidRPr="00DC7778">
        <w:rPr>
          <w:rFonts w:ascii="Times New Roman" w:eastAsia="彩虹粗仿宋" w:hAnsi="Times New Roman" w:cs="Times New Roman"/>
          <w:sz w:val="24"/>
          <w:szCs w:val="24"/>
        </w:rPr>
        <w:t xml:space="preserve"> of the </w:t>
      </w:r>
      <w:r w:rsidR="00241F50">
        <w:rPr>
          <w:rFonts w:ascii="Times New Roman" w:eastAsia="彩虹粗仿宋" w:hAnsi="Times New Roman" w:cs="Times New Roman"/>
          <w:sz w:val="24"/>
          <w:szCs w:val="24"/>
        </w:rPr>
        <w:t>total</w:t>
      </w:r>
      <w:r w:rsidR="00DC7778" w:rsidRPr="00DC7778">
        <w:rPr>
          <w:rFonts w:ascii="Times New Roman" w:eastAsia="彩虹粗仿宋" w:hAnsi="Times New Roman" w:cs="Times New Roman"/>
          <w:sz w:val="24"/>
          <w:szCs w:val="24"/>
        </w:rPr>
        <w:t xml:space="preserve"> domestic loan</w:t>
      </w:r>
      <w:r w:rsidR="00241F50">
        <w:rPr>
          <w:rFonts w:ascii="Times New Roman" w:eastAsia="彩虹粗仿宋" w:hAnsi="Times New Roman" w:cs="Times New Roman"/>
          <w:sz w:val="24"/>
          <w:szCs w:val="24"/>
        </w:rPr>
        <w:t xml:space="preserve"> increment</w:t>
      </w:r>
      <w:r w:rsidRPr="00DC7778">
        <w:rPr>
          <w:rFonts w:ascii="Times New Roman" w:eastAsia="彩虹粗仿宋" w:hAnsi="Times New Roman" w:cs="Times New Roman"/>
          <w:sz w:val="24"/>
          <w:szCs w:val="24"/>
        </w:rPr>
        <w:t xml:space="preserve">, </w:t>
      </w:r>
      <w:r w:rsidR="00DF2A27">
        <w:rPr>
          <w:rFonts w:ascii="Times New Roman" w:eastAsia="彩虹粗仿宋" w:hAnsi="Times New Roman" w:cs="Times New Roman"/>
          <w:sz w:val="24"/>
          <w:szCs w:val="24"/>
        </w:rPr>
        <w:t>and</w:t>
      </w:r>
      <w:r w:rsidRPr="00AE262A">
        <w:rPr>
          <w:rFonts w:ascii="Times New Roman" w:eastAsia="彩虹粗仿宋" w:hAnsi="Times New Roman" w:cs="Times New Roman"/>
          <w:sz w:val="24"/>
          <w:szCs w:val="24"/>
        </w:rPr>
        <w:t xml:space="preserve"> residential mortgages increas</w:t>
      </w:r>
      <w:r w:rsidR="00DF2A27">
        <w:rPr>
          <w:rFonts w:ascii="Times New Roman" w:eastAsia="彩虹粗仿宋" w:hAnsi="Times New Roman" w:cs="Times New Roman"/>
          <w:sz w:val="24"/>
          <w:szCs w:val="24"/>
        </w:rPr>
        <w:t>ed</w:t>
      </w:r>
      <w:r w:rsidRPr="00AE262A">
        <w:rPr>
          <w:rFonts w:ascii="Times New Roman" w:eastAsia="彩虹粗仿宋" w:hAnsi="Times New Roman" w:cs="Times New Roman"/>
          <w:sz w:val="24"/>
          <w:szCs w:val="24"/>
        </w:rPr>
        <w:t xml:space="preserve"> by RMB202</w:t>
      </w:r>
      <w:proofErr w:type="gramStart"/>
      <w:r w:rsidRPr="00AE262A">
        <w:rPr>
          <w:rFonts w:ascii="Times New Roman" w:eastAsia="彩虹粗仿宋" w:hAnsi="Times New Roman" w:cs="Times New Roman"/>
          <w:sz w:val="24"/>
          <w:szCs w:val="24"/>
        </w:rPr>
        <w:t>,164</w:t>
      </w:r>
      <w:proofErr w:type="gramEnd"/>
      <w:r w:rsidRPr="00AE262A">
        <w:rPr>
          <w:rFonts w:ascii="Times New Roman" w:eastAsia="彩虹粗仿宋" w:hAnsi="Times New Roman" w:cs="Times New Roman"/>
          <w:sz w:val="24"/>
          <w:szCs w:val="24"/>
        </w:rPr>
        <w:t xml:space="preserve"> million to RMB2,082,383 million, ranking first among peers once again in loan increment and balance. Loans to five industries with </w:t>
      </w:r>
      <w:r w:rsidR="00D67CFC">
        <w:rPr>
          <w:rFonts w:ascii="Times New Roman" w:eastAsia="PMingLiU" w:hAnsi="Times New Roman" w:cs="Times New Roman" w:hint="eastAsia"/>
          <w:sz w:val="24"/>
          <w:szCs w:val="24"/>
          <w:lang w:eastAsia="zh-HK"/>
        </w:rPr>
        <w:t>severe</w:t>
      </w:r>
      <w:r w:rsidR="00D67CFC"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excess capacity, namely steel, cement, electrolytic aluminum, plate glass and shipbuilding, decreased by RMB6,126 million compared with the beginning of the year. Loans to local government financing vehicles decreased by RMB9,274 million compared with the end of last year. The composition of the Bank’s customer base was further </w:t>
      </w:r>
      <w:r w:rsidR="00146548" w:rsidRPr="00AE262A">
        <w:rPr>
          <w:rFonts w:ascii="Times New Roman" w:eastAsia="彩虹粗仿宋" w:hAnsi="Times New Roman" w:cs="Times New Roman"/>
          <w:sz w:val="24"/>
          <w:szCs w:val="24"/>
        </w:rPr>
        <w:t>optimized</w:t>
      </w:r>
      <w:r w:rsidRPr="00AE262A">
        <w:rPr>
          <w:rFonts w:ascii="Times New Roman" w:eastAsia="彩虹粗仿宋" w:hAnsi="Times New Roman" w:cs="Times New Roman"/>
          <w:sz w:val="24"/>
          <w:szCs w:val="24"/>
        </w:rPr>
        <w:t>.</w:t>
      </w:r>
    </w:p>
    <w:p w14:paraId="3056ACEC"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0834A770" w14:textId="50860B93" w:rsidR="001F4246" w:rsidRPr="00AE262A" w:rsidRDefault="004D7873" w:rsidP="001F4246">
      <w:pPr>
        <w:widowControl/>
        <w:spacing w:line="276" w:lineRule="auto"/>
        <w:ind w:right="-58"/>
        <w:rPr>
          <w:rFonts w:ascii="Times New Roman" w:eastAsia="彩虹粗仿宋" w:hAnsi="Times New Roman" w:cs="Times New Roman"/>
          <w:b/>
          <w:sz w:val="24"/>
          <w:szCs w:val="24"/>
        </w:rPr>
      </w:pPr>
      <w:r>
        <w:rPr>
          <w:rFonts w:ascii="Times New Roman" w:eastAsia="彩虹粗仿宋" w:hAnsi="Times New Roman" w:cs="Times New Roman"/>
          <w:b/>
          <w:sz w:val="24"/>
          <w:szCs w:val="24"/>
        </w:rPr>
        <w:t>Accelerated s</w:t>
      </w:r>
      <w:r w:rsidR="001F4246" w:rsidRPr="00AE262A">
        <w:rPr>
          <w:rFonts w:ascii="Times New Roman" w:eastAsia="彩虹粗仿宋" w:hAnsi="Times New Roman" w:cs="Times New Roman"/>
          <w:b/>
          <w:sz w:val="24"/>
          <w:szCs w:val="24"/>
        </w:rPr>
        <w:t xml:space="preserve">trategic transformation </w:t>
      </w:r>
      <w:r>
        <w:rPr>
          <w:rFonts w:ascii="Times New Roman" w:eastAsia="彩虹粗仿宋" w:hAnsi="Times New Roman" w:cs="Times New Roman"/>
          <w:b/>
          <w:sz w:val="24"/>
          <w:szCs w:val="24"/>
        </w:rPr>
        <w:t>and continued to improve</w:t>
      </w:r>
      <w:r w:rsidR="001F4246" w:rsidRPr="00AE262A">
        <w:rPr>
          <w:rFonts w:ascii="Times New Roman" w:eastAsia="彩虹粗仿宋" w:hAnsi="Times New Roman" w:cs="Times New Roman"/>
          <w:b/>
          <w:sz w:val="24"/>
          <w:szCs w:val="24"/>
        </w:rPr>
        <w:t xml:space="preserve"> innovati</w:t>
      </w:r>
      <w:r>
        <w:rPr>
          <w:rFonts w:ascii="Times New Roman" w:eastAsia="彩虹粗仿宋" w:hAnsi="Times New Roman" w:cs="Times New Roman"/>
          <w:b/>
          <w:sz w:val="24"/>
          <w:szCs w:val="24"/>
        </w:rPr>
        <w:t>on</w:t>
      </w:r>
      <w:r w:rsidR="001F4246" w:rsidRPr="00AE262A">
        <w:rPr>
          <w:rFonts w:ascii="Times New Roman" w:eastAsia="彩虹粗仿宋" w:hAnsi="Times New Roman" w:cs="Times New Roman"/>
          <w:b/>
          <w:sz w:val="24"/>
          <w:szCs w:val="24"/>
        </w:rPr>
        <w:t xml:space="preserve"> capability </w:t>
      </w:r>
    </w:p>
    <w:p w14:paraId="67083506" w14:textId="2800CCE5"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In line with the positioning of its transformation to pursue “integration, multifunction and intensiveness”, CCB sped up the pace of its various reforms. As shown in the interim report, the Bank achieved a further breakthrough in its integrated operation. Following the capital injection into Shanghai Liangmao Futures, CCB’s non-banking business </w:t>
      </w:r>
      <w:r w:rsidR="00DF2A27">
        <w:rPr>
          <w:rFonts w:ascii="Times New Roman" w:eastAsia="彩虹粗仿宋" w:hAnsi="Times New Roman" w:cs="Times New Roman"/>
          <w:sz w:val="24"/>
          <w:szCs w:val="24"/>
        </w:rPr>
        <w:t>was</w:t>
      </w:r>
      <w:r w:rsidRPr="00AE262A">
        <w:rPr>
          <w:rFonts w:ascii="Times New Roman" w:eastAsia="彩虹粗仿宋" w:hAnsi="Times New Roman" w:cs="Times New Roman"/>
          <w:sz w:val="24"/>
          <w:szCs w:val="24"/>
        </w:rPr>
        <w:t xml:space="preserve"> extended to cover commodi</w:t>
      </w:r>
      <w:r w:rsidR="00831C2E">
        <w:rPr>
          <w:rFonts w:ascii="Times New Roman" w:eastAsia="彩虹粗仿宋" w:hAnsi="Times New Roman" w:cs="Times New Roman"/>
          <w:sz w:val="24"/>
          <w:szCs w:val="24"/>
        </w:rPr>
        <w:t>ty</w:t>
      </w:r>
      <w:r w:rsidRPr="00AE262A">
        <w:rPr>
          <w:rFonts w:ascii="Times New Roman" w:eastAsia="彩虹粗仿宋" w:hAnsi="Times New Roman" w:cs="Times New Roman"/>
          <w:sz w:val="24"/>
          <w:szCs w:val="24"/>
        </w:rPr>
        <w:t xml:space="preserve"> futures and financial futures, contributing to a leading integrated operational platform among its peers. The industry ranking of the Bank’s subsidiaries continued to rise, with key business indicators of </w:t>
      </w:r>
      <w:r w:rsidR="007901FB">
        <w:rPr>
          <w:rFonts w:ascii="Times New Roman" w:eastAsia="彩虹粗仿宋" w:hAnsi="Times New Roman" w:cs="Times New Roman" w:hint="eastAsia"/>
          <w:sz w:val="24"/>
          <w:szCs w:val="24"/>
        </w:rPr>
        <w:t>CCB Life</w:t>
      </w:r>
      <w:r w:rsidRPr="00AE262A">
        <w:rPr>
          <w:rFonts w:ascii="Times New Roman" w:eastAsia="彩虹粗仿宋" w:hAnsi="Times New Roman" w:cs="Times New Roman"/>
          <w:sz w:val="24"/>
          <w:szCs w:val="24"/>
        </w:rPr>
        <w:t xml:space="preserve"> and CCB International ranking first among Chinese banks.</w:t>
      </w:r>
    </w:p>
    <w:p w14:paraId="40E71001"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7B5DD49F" w14:textId="660DA7FF"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The Bank’s multifunctional transformation yielded significant effect and contributed to the rapid development of its strategic businesses. According to the interim report, the Bank had 50.2 million credit card users </w:t>
      </w:r>
      <w:r w:rsidR="00645E6A">
        <w:rPr>
          <w:rFonts w:ascii="Times New Roman" w:eastAsia="彩虹粗仿宋" w:hAnsi="Times New Roman" w:cs="Times New Roman"/>
          <w:sz w:val="24"/>
          <w:szCs w:val="24"/>
        </w:rPr>
        <w:t>and</w:t>
      </w:r>
      <w:r w:rsidRPr="00AE262A">
        <w:rPr>
          <w:rFonts w:ascii="Times New Roman" w:eastAsia="彩虹粗仿宋" w:hAnsi="Times New Roman" w:cs="Times New Roman"/>
          <w:sz w:val="24"/>
          <w:szCs w:val="24"/>
        </w:rPr>
        <w:t xml:space="preserve"> the total number of cards issued exceed</w:t>
      </w:r>
      <w:r w:rsidR="00645E6A">
        <w:rPr>
          <w:rFonts w:ascii="Times New Roman" w:eastAsia="彩虹粗仿宋" w:hAnsi="Times New Roman" w:cs="Times New Roman"/>
          <w:sz w:val="24"/>
          <w:szCs w:val="24"/>
        </w:rPr>
        <w:t>ed</w:t>
      </w:r>
      <w:r w:rsidRPr="00AE262A">
        <w:rPr>
          <w:rFonts w:ascii="Times New Roman" w:eastAsia="彩虹粗仿宋" w:hAnsi="Times New Roman" w:cs="Times New Roman"/>
          <w:sz w:val="24"/>
          <w:szCs w:val="24"/>
        </w:rPr>
        <w:t xml:space="preserve"> 60 million, ranking first among peers in terms of </w:t>
      </w:r>
      <w:r w:rsidR="00767EF1">
        <w:rPr>
          <w:rFonts w:ascii="Times New Roman" w:eastAsia="彩虹粗仿宋" w:hAnsi="Times New Roman" w:cs="Times New Roman"/>
          <w:sz w:val="24"/>
          <w:szCs w:val="24"/>
        </w:rPr>
        <w:t xml:space="preserve">new </w:t>
      </w:r>
      <w:r w:rsidRPr="00AE262A">
        <w:rPr>
          <w:rFonts w:ascii="Times New Roman" w:eastAsia="彩虹粗仿宋" w:hAnsi="Times New Roman" w:cs="Times New Roman"/>
          <w:sz w:val="24"/>
          <w:szCs w:val="24"/>
        </w:rPr>
        <w:t xml:space="preserve">users, number of cards issued and </w:t>
      </w:r>
      <w:r w:rsidR="00767EF1">
        <w:rPr>
          <w:rFonts w:ascii="Times New Roman" w:eastAsia="彩虹粗仿宋" w:hAnsi="Times New Roman" w:cs="Times New Roman"/>
          <w:sz w:val="24"/>
          <w:szCs w:val="24"/>
        </w:rPr>
        <w:t xml:space="preserve">number of </w:t>
      </w:r>
      <w:r w:rsidRPr="00AE262A">
        <w:rPr>
          <w:rFonts w:ascii="Times New Roman" w:eastAsia="彩虹粗仿宋" w:hAnsi="Times New Roman" w:cs="Times New Roman"/>
          <w:sz w:val="24"/>
          <w:szCs w:val="24"/>
        </w:rPr>
        <w:t>transactions. The Bank’s underwriting volume of debt securities amounted to RMB 202,833 million,</w:t>
      </w:r>
      <w:r w:rsidR="00645E6A">
        <w:rPr>
          <w:rFonts w:ascii="Times New Roman" w:eastAsia="彩虹粗仿宋" w:hAnsi="Times New Roman" w:cs="Times New Roman"/>
          <w:sz w:val="24"/>
          <w:szCs w:val="24"/>
        </w:rPr>
        <w:t xml:space="preserve"> and </w:t>
      </w:r>
      <w:r w:rsidRPr="00AE262A">
        <w:rPr>
          <w:rFonts w:ascii="Times New Roman" w:eastAsia="彩虹粗仿宋" w:hAnsi="Times New Roman" w:cs="Times New Roman"/>
          <w:sz w:val="24"/>
          <w:szCs w:val="24"/>
        </w:rPr>
        <w:t xml:space="preserve">continued to rank first among peers. The Bank also ranked first among peers in the following areas: </w:t>
      </w:r>
      <w:r w:rsidR="00645E6A">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increase in market share of the Bank’s pension assets under custody, </w:t>
      </w:r>
      <w:r w:rsidR="00645E6A">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number of new securities investments under custody, and the size of insurance assets under custody. The Bank was also </w:t>
      </w:r>
      <w:r w:rsidRPr="00AE262A">
        <w:rPr>
          <w:rFonts w:ascii="Times New Roman" w:eastAsia="彩虹粗仿宋" w:hAnsi="Times New Roman" w:cs="Times New Roman"/>
          <w:sz w:val="24"/>
          <w:szCs w:val="24"/>
        </w:rPr>
        <w:lastRenderedPageBreak/>
        <w:t>among the first</w:t>
      </w:r>
      <w:r w:rsidR="001B5848">
        <w:rPr>
          <w:rFonts w:ascii="Times New Roman" w:eastAsia="彩虹粗仿宋" w:hAnsi="Times New Roman" w:cs="Times New Roman" w:hint="eastAsia"/>
          <w:sz w:val="24"/>
          <w:szCs w:val="24"/>
        </w:rPr>
        <w:t xml:space="preserve"> batch of</w:t>
      </w:r>
      <w:r w:rsidRPr="00AE262A">
        <w:rPr>
          <w:rFonts w:ascii="Times New Roman" w:eastAsia="彩虹粗仿宋" w:hAnsi="Times New Roman" w:cs="Times New Roman"/>
          <w:sz w:val="24"/>
          <w:szCs w:val="24"/>
        </w:rPr>
        <w:t xml:space="preserve"> Chinese custodian banks to participate in the RQFII scheme in Singapore. </w:t>
      </w:r>
    </w:p>
    <w:p w14:paraId="59B2C4EE"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3A39D154" w14:textId="40DEED0B"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Intensive transformation progressed </w:t>
      </w:r>
      <w:r w:rsidR="00645E6A">
        <w:rPr>
          <w:rFonts w:ascii="Times New Roman" w:eastAsia="彩虹粗仿宋" w:hAnsi="Times New Roman" w:cs="Times New Roman"/>
          <w:sz w:val="24"/>
          <w:szCs w:val="24"/>
        </w:rPr>
        <w:t>as planned</w:t>
      </w:r>
      <w:r w:rsidR="00645E6A"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and the Bank’s fundamentals continued to strengthen. The Bank push</w:t>
      </w:r>
      <w:r w:rsidR="00645E6A">
        <w:rPr>
          <w:rFonts w:ascii="Times New Roman" w:eastAsia="彩虹粗仿宋" w:hAnsi="Times New Roman" w:cs="Times New Roman"/>
          <w:sz w:val="24"/>
          <w:szCs w:val="24"/>
        </w:rPr>
        <w:t>ed</w:t>
      </w:r>
      <w:r w:rsidRPr="00AE262A">
        <w:rPr>
          <w:rFonts w:ascii="Times New Roman" w:eastAsia="彩虹粗仿宋" w:hAnsi="Times New Roman" w:cs="Times New Roman"/>
          <w:sz w:val="24"/>
          <w:szCs w:val="24"/>
        </w:rPr>
        <w:t xml:space="preserve"> forward the </w:t>
      </w:r>
      <w:r w:rsidR="00DF1E9B">
        <w:rPr>
          <w:rFonts w:ascii="Times New Roman" w:eastAsia="彩虹粗仿宋" w:hAnsi="Times New Roman" w:cs="Times New Roman" w:hint="eastAsia"/>
          <w:sz w:val="24"/>
          <w:szCs w:val="24"/>
        </w:rPr>
        <w:t>development</w:t>
      </w:r>
      <w:r w:rsidR="00DF1E9B"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of an integrated platform of its outlets. The Bank had 13,100 integrated outlets</w:t>
      </w:r>
      <w:r w:rsidR="00C30686">
        <w:rPr>
          <w:rFonts w:ascii="Times New Roman" w:eastAsia="彩虹粗仿宋" w:hAnsi="Times New Roman" w:cs="Times New Roman" w:hint="eastAsia"/>
          <w:sz w:val="24"/>
          <w:szCs w:val="24"/>
        </w:rPr>
        <w:t xml:space="preserve"> and </w:t>
      </w:r>
      <w:r w:rsidR="00C30686" w:rsidRPr="00AE262A">
        <w:rPr>
          <w:rFonts w:ascii="Times New Roman" w:eastAsia="彩虹粗仿宋" w:hAnsi="Times New Roman" w:cs="Times New Roman"/>
          <w:sz w:val="24"/>
          <w:szCs w:val="24"/>
        </w:rPr>
        <w:t>13,500 integrated marketing teams</w:t>
      </w:r>
      <w:r w:rsidR="00C30686">
        <w:rPr>
          <w:rFonts w:ascii="Times New Roman" w:eastAsia="彩虹粗仿宋" w:hAnsi="Times New Roman" w:cs="Times New Roman" w:hint="eastAsia"/>
          <w:sz w:val="24"/>
          <w:szCs w:val="24"/>
        </w:rPr>
        <w:t>.</w:t>
      </w:r>
      <w:r w:rsidRPr="00AE262A">
        <w:rPr>
          <w:rFonts w:ascii="Times New Roman" w:eastAsia="彩虹粗仿宋" w:hAnsi="Times New Roman" w:cs="Times New Roman"/>
          <w:sz w:val="24"/>
          <w:szCs w:val="24"/>
        </w:rPr>
        <w:t xml:space="preserve"> </w:t>
      </w:r>
      <w:r w:rsidR="00C30686">
        <w:rPr>
          <w:rFonts w:ascii="Times New Roman" w:eastAsia="彩虹粗仿宋" w:hAnsi="Times New Roman" w:cs="Times New Roman" w:hint="eastAsia"/>
          <w:sz w:val="24"/>
          <w:szCs w:val="24"/>
        </w:rPr>
        <w:t>T</w:t>
      </w:r>
      <w:r w:rsidR="00C30686" w:rsidRPr="00AE262A">
        <w:rPr>
          <w:rFonts w:ascii="Times New Roman" w:eastAsia="彩虹粗仿宋" w:hAnsi="Times New Roman" w:cs="Times New Roman"/>
          <w:sz w:val="24"/>
          <w:szCs w:val="24"/>
        </w:rPr>
        <w:t xml:space="preserve">he </w:t>
      </w:r>
      <w:r w:rsidRPr="00AE262A">
        <w:rPr>
          <w:rFonts w:ascii="Times New Roman" w:eastAsia="彩虹粗仿宋" w:hAnsi="Times New Roman" w:cs="Times New Roman"/>
          <w:sz w:val="24"/>
          <w:szCs w:val="24"/>
        </w:rPr>
        <w:t>percentage of integrated teller</w:t>
      </w:r>
      <w:r w:rsidR="00645E6A">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xml:space="preserve"> rose to 73%</w:t>
      </w:r>
      <w:r w:rsidR="007C233A">
        <w:rPr>
          <w:rFonts w:ascii="Times New Roman" w:eastAsia="彩虹粗仿宋" w:hAnsi="Times New Roman" w:cs="Times New Roman" w:hint="eastAsia"/>
          <w:sz w:val="24"/>
          <w:szCs w:val="24"/>
        </w:rPr>
        <w:t>.</w:t>
      </w:r>
      <w:r w:rsidRPr="00AE262A">
        <w:rPr>
          <w:rFonts w:ascii="Times New Roman" w:eastAsia="彩虹粗仿宋" w:hAnsi="Times New Roman" w:cs="Times New Roman"/>
          <w:sz w:val="24"/>
          <w:szCs w:val="24"/>
        </w:rPr>
        <w:t xml:space="preserve"> Some of the branches have actively initiated </w:t>
      </w:r>
      <w:r w:rsidR="00645E6A">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transformation of functional outlets into intelligent outlets. The Bank further implemented the separation of front and back offices, as well as the </w:t>
      </w:r>
      <w:r w:rsidR="00767EF1" w:rsidRPr="00AE262A">
        <w:rPr>
          <w:rFonts w:ascii="Times New Roman" w:eastAsia="彩虹粗仿宋" w:hAnsi="Times New Roman" w:cs="Times New Roman"/>
          <w:sz w:val="24"/>
          <w:szCs w:val="24"/>
        </w:rPr>
        <w:t>centralized</w:t>
      </w:r>
      <w:r w:rsidRPr="00AE262A">
        <w:rPr>
          <w:rFonts w:ascii="Times New Roman" w:eastAsia="彩虹粗仿宋" w:hAnsi="Times New Roman" w:cs="Times New Roman"/>
          <w:sz w:val="24"/>
          <w:szCs w:val="24"/>
        </w:rPr>
        <w:t xml:space="preserve"> processing at </w:t>
      </w:r>
      <w:r w:rsidR="00912703">
        <w:rPr>
          <w:rFonts w:ascii="Times New Roman" w:eastAsia="彩虹粗仿宋" w:hAnsi="Times New Roman" w:cs="Times New Roman"/>
          <w:sz w:val="24"/>
          <w:szCs w:val="24"/>
        </w:rPr>
        <w:t>its</w:t>
      </w:r>
      <w:r w:rsidRPr="00AE262A">
        <w:rPr>
          <w:rFonts w:ascii="Times New Roman" w:eastAsia="彩虹粗仿宋" w:hAnsi="Times New Roman" w:cs="Times New Roman"/>
          <w:sz w:val="24"/>
          <w:szCs w:val="24"/>
        </w:rPr>
        <w:t xml:space="preserve"> </w:t>
      </w:r>
      <w:r w:rsidRPr="00912703">
        <w:rPr>
          <w:rFonts w:ascii="Times New Roman" w:eastAsia="彩虹粗仿宋" w:hAnsi="Times New Roman" w:cs="Times New Roman"/>
          <w:sz w:val="24"/>
          <w:szCs w:val="24"/>
        </w:rPr>
        <w:t xml:space="preserve">headquarters </w:t>
      </w:r>
      <w:r w:rsidR="00912703" w:rsidRPr="00801A5B">
        <w:rPr>
          <w:rFonts w:ascii="Times New Roman" w:eastAsia="彩虹粗仿宋" w:hAnsi="Times New Roman" w:cs="Times New Roman"/>
          <w:sz w:val="24"/>
          <w:szCs w:val="24"/>
        </w:rPr>
        <w:t>for</w:t>
      </w:r>
      <w:r w:rsidRPr="008B24DF">
        <w:rPr>
          <w:rFonts w:ascii="Times New Roman" w:eastAsia="彩虹粗仿宋" w:hAnsi="Times New Roman" w:cs="Times New Roman"/>
          <w:sz w:val="24"/>
          <w:szCs w:val="24"/>
        </w:rPr>
        <w:t xml:space="preserve"> 28 types of real-time over-the-counter products and services across all outlets.</w:t>
      </w:r>
    </w:p>
    <w:p w14:paraId="57204873"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0C8841D1" w14:textId="53B777ED"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CCB </w:t>
      </w:r>
      <w:r w:rsidR="007C233A">
        <w:rPr>
          <w:rFonts w:ascii="Times New Roman" w:eastAsia="彩虹粗仿宋" w:hAnsi="Times New Roman" w:cs="Times New Roman" w:hint="eastAsia"/>
          <w:sz w:val="24"/>
          <w:szCs w:val="24"/>
        </w:rPr>
        <w:t xml:space="preserve">has </w:t>
      </w:r>
      <w:r w:rsidR="00767EF1" w:rsidRPr="00AE262A">
        <w:rPr>
          <w:rFonts w:ascii="Times New Roman" w:eastAsia="彩虹粗仿宋" w:hAnsi="Times New Roman" w:cs="Times New Roman"/>
          <w:sz w:val="24"/>
          <w:szCs w:val="24"/>
        </w:rPr>
        <w:t>endeavored</w:t>
      </w:r>
      <w:r w:rsidRPr="00AE262A">
        <w:rPr>
          <w:rFonts w:ascii="Times New Roman" w:eastAsia="彩虹粗仿宋" w:hAnsi="Times New Roman" w:cs="Times New Roman"/>
          <w:sz w:val="24"/>
          <w:szCs w:val="24"/>
        </w:rPr>
        <w:t xml:space="preserve"> to transform itself into an innovative bank. </w:t>
      </w:r>
      <w:r w:rsidR="00645E6A">
        <w:rPr>
          <w:rFonts w:ascii="Times New Roman" w:eastAsia="彩虹粗仿宋" w:hAnsi="Times New Roman" w:cs="Times New Roman"/>
          <w:sz w:val="24"/>
          <w:szCs w:val="24"/>
        </w:rPr>
        <w:t>T</w:t>
      </w:r>
      <w:r w:rsidRPr="00AE262A">
        <w:rPr>
          <w:rFonts w:ascii="Times New Roman" w:eastAsia="彩虹粗仿宋" w:hAnsi="Times New Roman" w:cs="Times New Roman"/>
          <w:sz w:val="24"/>
          <w:szCs w:val="24"/>
        </w:rPr>
        <w:t>he Bank completed 357 product innovation</w:t>
      </w:r>
      <w:r w:rsidR="00645E6A">
        <w:rPr>
          <w:rFonts w:ascii="Times New Roman" w:eastAsia="彩虹粗仿宋" w:hAnsi="Times New Roman" w:cs="Times New Roman"/>
          <w:sz w:val="24"/>
          <w:szCs w:val="24"/>
        </w:rPr>
        <w:t xml:space="preserve"> projects</w:t>
      </w:r>
      <w:r w:rsidRPr="00AE262A">
        <w:rPr>
          <w:rFonts w:ascii="Times New Roman" w:eastAsia="彩虹粗仿宋" w:hAnsi="Times New Roman" w:cs="Times New Roman"/>
          <w:sz w:val="24"/>
          <w:szCs w:val="24"/>
        </w:rPr>
        <w:t xml:space="preserve"> during the first half of the year, 60 more than the same period </w:t>
      </w:r>
      <w:r w:rsidR="00AD1869">
        <w:rPr>
          <w:rFonts w:ascii="Times New Roman" w:eastAsia="彩虹粗仿宋" w:hAnsi="Times New Roman" w:cs="Times New Roman" w:hint="eastAsia"/>
          <w:sz w:val="24"/>
          <w:szCs w:val="24"/>
        </w:rPr>
        <w:t xml:space="preserve">of </w:t>
      </w:r>
      <w:r w:rsidRPr="00AE262A">
        <w:rPr>
          <w:rFonts w:ascii="Times New Roman" w:eastAsia="彩虹粗仿宋" w:hAnsi="Times New Roman" w:cs="Times New Roman"/>
          <w:sz w:val="24"/>
          <w:szCs w:val="24"/>
        </w:rPr>
        <w:t xml:space="preserve">last year. As part of the product innovation, the Bank accepted for the first time intellectual property rights and shares of non-listed companies as collateral for loans extended to technology enterprises. Targeting corporate clients and public institutions, the Bank provided value-added services such as custody </w:t>
      </w:r>
      <w:r w:rsidR="00ED149E">
        <w:rPr>
          <w:rFonts w:ascii="Times New Roman" w:eastAsia="彩虹粗仿宋" w:hAnsi="Times New Roman" w:cs="Times New Roman" w:hint="eastAsia"/>
          <w:sz w:val="24"/>
          <w:szCs w:val="24"/>
        </w:rPr>
        <w:t>consultancy</w:t>
      </w:r>
      <w:r w:rsidRPr="00AE262A">
        <w:rPr>
          <w:rFonts w:ascii="Times New Roman" w:eastAsia="彩虹粗仿宋" w:hAnsi="Times New Roman" w:cs="Times New Roman"/>
          <w:sz w:val="24"/>
          <w:szCs w:val="24"/>
        </w:rPr>
        <w:t xml:space="preserve">, account information management and pension card through its </w:t>
      </w:r>
      <w:r w:rsidR="00D45A5E">
        <w:rPr>
          <w:rFonts w:ascii="Times New Roman" w:eastAsia="彩虹粗仿宋" w:hAnsi="Times New Roman" w:cs="Times New Roman"/>
          <w:sz w:val="24"/>
          <w:szCs w:val="24"/>
        </w:rPr>
        <w:t xml:space="preserve">financial </w:t>
      </w:r>
      <w:r w:rsidRPr="00AE262A">
        <w:rPr>
          <w:rFonts w:ascii="Times New Roman" w:eastAsia="彩虹粗仿宋" w:hAnsi="Times New Roman" w:cs="Times New Roman"/>
          <w:sz w:val="24"/>
          <w:szCs w:val="24"/>
        </w:rPr>
        <w:t xml:space="preserve">product “Yangyiwuyou”. The Bank also launched the first supplementary medical insurance integrated management product </w:t>
      </w:r>
      <w:r w:rsidR="00D45A5E">
        <w:rPr>
          <w:rFonts w:ascii="Times New Roman" w:eastAsia="彩虹粗仿宋" w:hAnsi="Times New Roman" w:cs="Times New Roman"/>
          <w:sz w:val="24"/>
          <w:szCs w:val="24"/>
        </w:rPr>
        <w:t>among</w:t>
      </w:r>
      <w:r w:rsidRPr="00AE262A">
        <w:rPr>
          <w:rFonts w:ascii="Times New Roman" w:eastAsia="彩虹粗仿宋" w:hAnsi="Times New Roman" w:cs="Times New Roman"/>
          <w:sz w:val="24"/>
          <w:szCs w:val="24"/>
        </w:rPr>
        <w:t xml:space="preserve"> large-scale state-owned commercial banks in China.</w:t>
      </w:r>
    </w:p>
    <w:p w14:paraId="6251A0D4"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7093BDCE" w14:textId="4CFD7568"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Regarding technology innovation, the benefits of developing the “new generation” core banking system have gradually emerged. All 13 projects of Phase I of the system </w:t>
      </w:r>
      <w:r w:rsidR="00547F9B">
        <w:rPr>
          <w:rFonts w:ascii="Times New Roman" w:eastAsia="彩虹粗仿宋" w:hAnsi="Times New Roman" w:cs="Times New Roman" w:hint="eastAsia"/>
          <w:sz w:val="24"/>
          <w:szCs w:val="24"/>
        </w:rPr>
        <w:t>were</w:t>
      </w:r>
      <w:r w:rsidRPr="00AE262A">
        <w:rPr>
          <w:rFonts w:ascii="Times New Roman" w:eastAsia="彩虹粗仿宋" w:hAnsi="Times New Roman" w:cs="Times New Roman"/>
          <w:sz w:val="24"/>
          <w:szCs w:val="24"/>
        </w:rPr>
        <w:t xml:space="preserve"> put into operation and </w:t>
      </w:r>
      <w:r w:rsidR="00645E6A">
        <w:rPr>
          <w:rFonts w:ascii="Times New Roman" w:eastAsia="彩虹粗仿宋" w:hAnsi="Times New Roman" w:cs="Times New Roman"/>
          <w:sz w:val="24"/>
          <w:szCs w:val="24"/>
        </w:rPr>
        <w:t xml:space="preserve">are </w:t>
      </w:r>
      <w:r w:rsidRPr="00AE262A">
        <w:rPr>
          <w:rFonts w:ascii="Times New Roman" w:eastAsia="彩虹粗仿宋" w:hAnsi="Times New Roman" w:cs="Times New Roman"/>
          <w:sz w:val="24"/>
          <w:szCs w:val="24"/>
        </w:rPr>
        <w:t xml:space="preserve">functioning effectively, enabling the business operation and channel migration </w:t>
      </w:r>
      <w:r w:rsidR="00986CC8">
        <w:rPr>
          <w:rFonts w:ascii="Times New Roman" w:eastAsia="彩虹粗仿宋" w:hAnsi="Times New Roman" w:cs="Times New Roman"/>
          <w:sz w:val="24"/>
          <w:szCs w:val="24"/>
        </w:rPr>
        <w:t>of</w:t>
      </w:r>
      <w:r w:rsidR="00986CC8"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340,000 corporate cash management clients, 190,000 </w:t>
      </w:r>
      <w:r w:rsidR="00D45A5E">
        <w:rPr>
          <w:rFonts w:ascii="Times New Roman" w:eastAsia="彩虹粗仿宋" w:hAnsi="Times New Roman" w:cs="Times New Roman"/>
          <w:sz w:val="24"/>
          <w:szCs w:val="24"/>
        </w:rPr>
        <w:t xml:space="preserve">entrusted </w:t>
      </w:r>
      <w:r w:rsidR="00547F9B">
        <w:rPr>
          <w:rFonts w:ascii="Times New Roman" w:eastAsia="彩虹粗仿宋" w:hAnsi="Times New Roman" w:cs="Times New Roman" w:hint="eastAsia"/>
          <w:sz w:val="24"/>
          <w:szCs w:val="24"/>
        </w:rPr>
        <w:t>entities</w:t>
      </w:r>
      <w:r w:rsidR="00547F9B">
        <w:rPr>
          <w:rFonts w:ascii="Times New Roman" w:eastAsia="彩虹粗仿宋" w:hAnsi="Times New Roman" w:cs="Times New Roman"/>
          <w:sz w:val="24"/>
          <w:szCs w:val="24"/>
        </w:rPr>
        <w:t xml:space="preserve"> </w:t>
      </w:r>
      <w:r w:rsidR="00547F9B">
        <w:rPr>
          <w:rFonts w:ascii="Times New Roman" w:eastAsia="彩虹粗仿宋" w:hAnsi="Times New Roman" w:cs="Times New Roman" w:hint="eastAsia"/>
          <w:sz w:val="24"/>
          <w:szCs w:val="24"/>
        </w:rPr>
        <w:t xml:space="preserve">for whom the Bank provided </w:t>
      </w:r>
      <w:r w:rsidRPr="00AE262A">
        <w:rPr>
          <w:rFonts w:ascii="Times New Roman" w:eastAsia="彩虹粗仿宋" w:hAnsi="Times New Roman" w:cs="Times New Roman"/>
          <w:sz w:val="24"/>
          <w:szCs w:val="24"/>
        </w:rPr>
        <w:t>payment and collection</w:t>
      </w:r>
      <w:r w:rsidR="00547F9B">
        <w:rPr>
          <w:rFonts w:ascii="Times New Roman" w:eastAsia="彩虹粗仿宋" w:hAnsi="Times New Roman" w:cs="Times New Roman" w:hint="eastAsia"/>
          <w:sz w:val="24"/>
          <w:szCs w:val="24"/>
        </w:rPr>
        <w:t xml:space="preserve"> services</w:t>
      </w:r>
      <w:r w:rsidRPr="00AE262A">
        <w:rPr>
          <w:rFonts w:ascii="Times New Roman" w:eastAsia="彩虹粗仿宋" w:hAnsi="Times New Roman" w:cs="Times New Roman"/>
          <w:sz w:val="24"/>
          <w:szCs w:val="24"/>
        </w:rPr>
        <w:t>, and 2</w:t>
      </w:r>
      <w:r w:rsidR="00D45A5E">
        <w:rPr>
          <w:rFonts w:ascii="Times New Roman" w:eastAsia="彩虹粗仿宋" w:hAnsi="Times New Roman" w:cs="Times New Roman"/>
          <w:sz w:val="24"/>
          <w:szCs w:val="24"/>
        </w:rPr>
        <w:t>.</w:t>
      </w:r>
      <w:r w:rsidRPr="00AE262A">
        <w:rPr>
          <w:rFonts w:ascii="Times New Roman" w:eastAsia="彩虹粗仿宋" w:hAnsi="Times New Roman" w:cs="Times New Roman"/>
          <w:sz w:val="24"/>
          <w:szCs w:val="24"/>
        </w:rPr>
        <w:t>52</w:t>
      </w:r>
      <w:r w:rsidR="00D45A5E">
        <w:rPr>
          <w:rFonts w:ascii="Times New Roman" w:eastAsia="彩虹粗仿宋" w:hAnsi="Times New Roman" w:cs="Times New Roman"/>
          <w:sz w:val="24"/>
          <w:szCs w:val="24"/>
        </w:rPr>
        <w:t xml:space="preserve"> million</w:t>
      </w:r>
      <w:r w:rsidRPr="00AE262A">
        <w:rPr>
          <w:rFonts w:ascii="Times New Roman" w:eastAsia="彩虹粗仿宋" w:hAnsi="Times New Roman" w:cs="Times New Roman"/>
          <w:sz w:val="24"/>
          <w:szCs w:val="24"/>
        </w:rPr>
        <w:t xml:space="preserve"> corporate online banking clients. The 34 projects of Phase II of the “new generation” commenced to enable the advance delivery of 18 functions across nine projects involving customer </w:t>
      </w:r>
      <w:r w:rsidR="00986CC8">
        <w:rPr>
          <w:rFonts w:ascii="Times New Roman" w:eastAsia="彩虹粗仿宋" w:hAnsi="Times New Roman" w:cs="Times New Roman"/>
          <w:sz w:val="24"/>
          <w:szCs w:val="24"/>
        </w:rPr>
        <w:t xml:space="preserve">and staff </w:t>
      </w:r>
      <w:r w:rsidRPr="00AE262A">
        <w:rPr>
          <w:rFonts w:ascii="Times New Roman" w:eastAsia="彩虹粗仿宋" w:hAnsi="Times New Roman" w:cs="Times New Roman"/>
          <w:sz w:val="24"/>
          <w:szCs w:val="24"/>
        </w:rPr>
        <w:t xml:space="preserve">channels, providing support and </w:t>
      </w:r>
      <w:r w:rsidR="0044500C">
        <w:rPr>
          <w:rFonts w:ascii="Times New Roman" w:eastAsia="彩虹粗仿宋" w:hAnsi="Times New Roman" w:cs="Times New Roman" w:hint="eastAsia"/>
          <w:sz w:val="24"/>
          <w:szCs w:val="24"/>
        </w:rPr>
        <w:t>guarantee</w:t>
      </w:r>
      <w:r w:rsidR="0044500C">
        <w:rPr>
          <w:rFonts w:ascii="Times New Roman" w:eastAsia="彩虹粗仿宋" w:hAnsi="Times New Roman" w:cs="Times New Roman"/>
          <w:sz w:val="24"/>
          <w:szCs w:val="24"/>
        </w:rPr>
        <w:t xml:space="preserve"> </w:t>
      </w:r>
      <w:r w:rsidR="00986CC8">
        <w:rPr>
          <w:rFonts w:ascii="Times New Roman" w:eastAsia="彩虹粗仿宋" w:hAnsi="Times New Roman" w:cs="Times New Roman"/>
          <w:sz w:val="24"/>
          <w:szCs w:val="24"/>
        </w:rPr>
        <w:t>for</w:t>
      </w:r>
      <w:r w:rsidRPr="00AE262A">
        <w:rPr>
          <w:rFonts w:ascii="Times New Roman" w:eastAsia="彩虹粗仿宋" w:hAnsi="Times New Roman" w:cs="Times New Roman"/>
          <w:sz w:val="24"/>
          <w:szCs w:val="24"/>
        </w:rPr>
        <w:t xml:space="preserve"> the Bank’s strategic transformation.</w:t>
      </w:r>
    </w:p>
    <w:p w14:paraId="6EE56B0A"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72484B5A" w14:textId="6E4A0643" w:rsidR="001F4246" w:rsidRPr="00AE262A" w:rsidRDefault="009E5F7C" w:rsidP="001F4246">
      <w:pPr>
        <w:widowControl/>
        <w:spacing w:line="276" w:lineRule="auto"/>
        <w:ind w:right="-58"/>
        <w:rPr>
          <w:rFonts w:ascii="Times New Roman" w:eastAsia="彩虹粗仿宋" w:hAnsi="Times New Roman" w:cs="Times New Roman"/>
          <w:b/>
          <w:sz w:val="24"/>
          <w:szCs w:val="24"/>
        </w:rPr>
      </w:pPr>
      <w:r>
        <w:rPr>
          <w:rFonts w:ascii="Times New Roman" w:eastAsiaTheme="minorEastAsia" w:hAnsi="Times New Roman" w:cs="Times New Roman" w:hint="eastAsia"/>
          <w:b/>
          <w:sz w:val="24"/>
          <w:szCs w:val="24"/>
        </w:rPr>
        <w:t>Smoothly advanced o</w:t>
      </w:r>
      <w:r>
        <w:rPr>
          <w:rFonts w:ascii="Times New Roman" w:eastAsia="PMingLiU" w:hAnsi="Times New Roman" w:cs="Times New Roman" w:hint="eastAsia"/>
          <w:b/>
          <w:sz w:val="24"/>
          <w:szCs w:val="24"/>
          <w:lang w:eastAsia="zh-HK"/>
        </w:rPr>
        <w:t xml:space="preserve">verseas </w:t>
      </w:r>
      <w:r>
        <w:rPr>
          <w:rFonts w:ascii="Times New Roman" w:eastAsiaTheme="minorEastAsia" w:hAnsi="Times New Roman" w:cs="Times New Roman" w:hint="eastAsia"/>
          <w:b/>
          <w:sz w:val="24"/>
          <w:szCs w:val="24"/>
        </w:rPr>
        <w:t>layout</w:t>
      </w:r>
      <w:r w:rsidR="003A133B">
        <w:rPr>
          <w:rFonts w:ascii="Times New Roman" w:eastAsia="PMingLiU" w:hAnsi="Times New Roman" w:cs="Times New Roman" w:hint="eastAsia"/>
          <w:b/>
          <w:sz w:val="24"/>
          <w:szCs w:val="24"/>
          <w:lang w:eastAsia="zh-HK"/>
        </w:rPr>
        <w:t xml:space="preserve"> and </w:t>
      </w:r>
      <w:r w:rsidR="00A860FA" w:rsidRPr="00AE262A">
        <w:rPr>
          <w:rFonts w:ascii="Times New Roman" w:eastAsia="彩虹粗仿宋" w:hAnsi="Times New Roman" w:cs="Times New Roman"/>
          <w:b/>
          <w:sz w:val="24"/>
          <w:szCs w:val="24"/>
        </w:rPr>
        <w:t xml:space="preserve">achieved </w:t>
      </w:r>
      <w:r w:rsidR="004D7873">
        <w:rPr>
          <w:rFonts w:ascii="Times New Roman" w:eastAsia="彩虹粗仿宋" w:hAnsi="Times New Roman" w:cs="Times New Roman"/>
          <w:b/>
          <w:sz w:val="24"/>
          <w:szCs w:val="24"/>
        </w:rPr>
        <w:t xml:space="preserve">breakthrough </w:t>
      </w:r>
      <w:r w:rsidR="00A860FA" w:rsidRPr="00AE262A">
        <w:rPr>
          <w:rFonts w:ascii="Times New Roman" w:eastAsia="彩虹粗仿宋" w:hAnsi="Times New Roman" w:cs="Times New Roman"/>
          <w:b/>
          <w:sz w:val="24"/>
          <w:szCs w:val="24"/>
        </w:rPr>
        <w:t xml:space="preserve">in </w:t>
      </w:r>
      <w:r w:rsidR="003A133B">
        <w:rPr>
          <w:rFonts w:ascii="Times New Roman" w:eastAsia="PMingLiU" w:hAnsi="Times New Roman" w:cs="Times New Roman" w:hint="eastAsia"/>
          <w:b/>
          <w:sz w:val="24"/>
          <w:szCs w:val="24"/>
          <w:lang w:eastAsia="zh-HK"/>
        </w:rPr>
        <w:t xml:space="preserve">international </w:t>
      </w:r>
      <w:r w:rsidR="00A860FA" w:rsidRPr="00AE262A">
        <w:rPr>
          <w:rFonts w:ascii="Times New Roman" w:eastAsia="彩虹粗仿宋" w:hAnsi="Times New Roman" w:cs="Times New Roman"/>
          <w:b/>
          <w:sz w:val="24"/>
          <w:szCs w:val="24"/>
        </w:rPr>
        <w:t>b</w:t>
      </w:r>
      <w:r w:rsidR="001F4246" w:rsidRPr="00AE262A">
        <w:rPr>
          <w:rFonts w:ascii="Times New Roman" w:eastAsia="彩虹粗仿宋" w:hAnsi="Times New Roman" w:cs="Times New Roman"/>
          <w:b/>
          <w:sz w:val="24"/>
          <w:szCs w:val="24"/>
        </w:rPr>
        <w:t xml:space="preserve">usiness </w:t>
      </w:r>
    </w:p>
    <w:p w14:paraId="5A7FAB1D" w14:textId="45D01892"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In the first half of 2014, CCB’s overseas business made great progress. The Bank was appointed </w:t>
      </w:r>
      <w:r w:rsidR="005975CF">
        <w:rPr>
          <w:rFonts w:ascii="Times New Roman" w:eastAsia="彩虹粗仿宋" w:hAnsi="Times New Roman" w:cs="Times New Roman"/>
          <w:sz w:val="24"/>
          <w:szCs w:val="24"/>
        </w:rPr>
        <w:t xml:space="preserve">as </w:t>
      </w:r>
      <w:r w:rsidRPr="00AE262A">
        <w:rPr>
          <w:rFonts w:ascii="Times New Roman" w:eastAsia="彩虹粗仿宋" w:hAnsi="Times New Roman" w:cs="Times New Roman"/>
          <w:sz w:val="24"/>
          <w:szCs w:val="24"/>
        </w:rPr>
        <w:t xml:space="preserve">the RMB clearing bank in London, becoming the </w:t>
      </w:r>
      <w:r w:rsidRPr="005975CF">
        <w:rPr>
          <w:rFonts w:ascii="Times New Roman" w:eastAsia="彩虹粗仿宋" w:hAnsi="Times New Roman" w:cs="Times New Roman"/>
          <w:sz w:val="24"/>
          <w:szCs w:val="24"/>
        </w:rPr>
        <w:t xml:space="preserve">first </w:t>
      </w:r>
      <w:r w:rsidR="00E53D90">
        <w:rPr>
          <w:rFonts w:ascii="Times New Roman" w:eastAsia="彩虹粗仿宋" w:hAnsi="Times New Roman" w:cs="Times New Roman" w:hint="eastAsia"/>
          <w:sz w:val="24"/>
          <w:szCs w:val="24"/>
        </w:rPr>
        <w:t xml:space="preserve">designated </w:t>
      </w:r>
      <w:r w:rsidRPr="00AE262A">
        <w:rPr>
          <w:rFonts w:ascii="Times New Roman" w:eastAsia="彩虹粗仿宋" w:hAnsi="Times New Roman" w:cs="Times New Roman"/>
          <w:sz w:val="24"/>
          <w:szCs w:val="24"/>
        </w:rPr>
        <w:t xml:space="preserve">RMB </w:t>
      </w:r>
      <w:r w:rsidRPr="00AE262A">
        <w:rPr>
          <w:rFonts w:ascii="Times New Roman" w:eastAsia="彩虹粗仿宋" w:hAnsi="Times New Roman" w:cs="Times New Roman"/>
          <w:sz w:val="24"/>
          <w:szCs w:val="24"/>
        </w:rPr>
        <w:lastRenderedPageBreak/>
        <w:t>clearing bank</w:t>
      </w:r>
      <w:r w:rsidR="005975CF">
        <w:rPr>
          <w:rFonts w:ascii="Times New Roman" w:eastAsia="彩虹粗仿宋" w:hAnsi="Times New Roman" w:cs="Times New Roman"/>
          <w:sz w:val="24"/>
          <w:szCs w:val="24"/>
        </w:rPr>
        <w:t xml:space="preserve"> outside of Asia</w:t>
      </w:r>
      <w:r w:rsidRPr="00AE262A">
        <w:rPr>
          <w:rFonts w:ascii="Times New Roman" w:eastAsia="彩虹粗仿宋" w:hAnsi="Times New Roman" w:cs="Times New Roman"/>
          <w:sz w:val="24"/>
          <w:szCs w:val="24"/>
        </w:rPr>
        <w:t xml:space="preserve">; </w:t>
      </w:r>
      <w:r w:rsidR="000322AD">
        <w:rPr>
          <w:rFonts w:ascii="Times New Roman" w:eastAsia="彩虹粗仿宋" w:hAnsi="Times New Roman" w:cs="Times New Roman"/>
          <w:sz w:val="24"/>
          <w:szCs w:val="24"/>
        </w:rPr>
        <w:t xml:space="preserve">its </w:t>
      </w:r>
      <w:r w:rsidRPr="00AE262A">
        <w:rPr>
          <w:rFonts w:ascii="Times New Roman" w:eastAsia="彩虹粗仿宋" w:hAnsi="Times New Roman" w:cs="Times New Roman"/>
          <w:sz w:val="24"/>
          <w:szCs w:val="24"/>
        </w:rPr>
        <w:t xml:space="preserve">Macau branch officially opened; </w:t>
      </w:r>
      <w:r w:rsidRPr="00033928">
        <w:rPr>
          <w:rFonts w:ascii="Times New Roman" w:eastAsia="彩虹粗仿宋" w:hAnsi="Times New Roman" w:cs="Times New Roman"/>
          <w:sz w:val="24"/>
          <w:szCs w:val="24"/>
        </w:rPr>
        <w:t>it received licenses for its Toronto Branch and New Zealand subsidiary</w:t>
      </w:r>
      <w:r w:rsidRPr="00AE262A">
        <w:rPr>
          <w:rFonts w:ascii="Times New Roman" w:eastAsia="彩虹粗仿宋" w:hAnsi="Times New Roman" w:cs="Times New Roman"/>
          <w:sz w:val="24"/>
          <w:szCs w:val="24"/>
        </w:rPr>
        <w:t xml:space="preserve">; </w:t>
      </w:r>
      <w:r w:rsidR="000322AD">
        <w:rPr>
          <w:rFonts w:ascii="Times New Roman" w:eastAsia="彩虹粗仿宋" w:hAnsi="Times New Roman" w:cs="Times New Roman"/>
          <w:sz w:val="24"/>
          <w:szCs w:val="24"/>
        </w:rPr>
        <w:t xml:space="preserve">and </w:t>
      </w:r>
      <w:r w:rsidRPr="00AE262A">
        <w:rPr>
          <w:rFonts w:ascii="Times New Roman" w:eastAsia="彩虹粗仿宋" w:hAnsi="Times New Roman" w:cs="Times New Roman"/>
          <w:sz w:val="24"/>
          <w:szCs w:val="24"/>
        </w:rPr>
        <w:t>the Bank actively pushed forward application</w:t>
      </w:r>
      <w:r w:rsidR="000322AD">
        <w:rPr>
          <w:rFonts w:ascii="Times New Roman" w:eastAsia="彩虹粗仿宋" w:hAnsi="Times New Roman" w:cs="Times New Roman"/>
          <w:sz w:val="24"/>
          <w:szCs w:val="24"/>
        </w:rPr>
        <w:t>s to</w:t>
      </w:r>
      <w:r w:rsidRPr="00AE262A">
        <w:rPr>
          <w:rFonts w:ascii="Times New Roman" w:eastAsia="彩虹粗仿宋" w:hAnsi="Times New Roman" w:cs="Times New Roman"/>
          <w:sz w:val="24"/>
          <w:szCs w:val="24"/>
        </w:rPr>
        <w:t xml:space="preserve"> establish branches in Chile and London, as well as four branches under CCB Europe. With </w:t>
      </w:r>
      <w:r w:rsidR="000322AD">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rapid growth of overseas business and breakthroughs in </w:t>
      </w:r>
      <w:r w:rsidR="00794689">
        <w:rPr>
          <w:rFonts w:ascii="Times New Roman" w:eastAsia="彩虹粗仿宋" w:hAnsi="Times New Roman" w:cs="Times New Roman" w:hint="eastAsia"/>
          <w:sz w:val="24"/>
          <w:szCs w:val="24"/>
        </w:rPr>
        <w:t>key</w:t>
      </w:r>
      <w:r w:rsidR="00794689"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areas, CCB’s cross-border RMB settlement business volume reached RMB710</w:t>
      </w:r>
      <w:r w:rsidR="001D2031">
        <w:rPr>
          <w:rFonts w:ascii="Times New Roman" w:eastAsia="彩虹粗仿宋" w:hAnsi="Times New Roman" w:cs="Times New Roman"/>
          <w:sz w:val="24"/>
          <w:szCs w:val="24"/>
        </w:rPr>
        <w:t>,</w:t>
      </w:r>
      <w:r w:rsidRPr="00AE262A">
        <w:rPr>
          <w:rFonts w:ascii="Times New Roman" w:eastAsia="彩虹粗仿宋" w:hAnsi="Times New Roman" w:cs="Times New Roman"/>
          <w:sz w:val="24"/>
          <w:szCs w:val="24"/>
        </w:rPr>
        <w:t xml:space="preserve">639 </w:t>
      </w:r>
      <w:r w:rsidR="001D2031">
        <w:rPr>
          <w:rFonts w:ascii="Times New Roman" w:eastAsia="彩虹粗仿宋" w:hAnsi="Times New Roman" w:cs="Times New Roman"/>
          <w:sz w:val="24"/>
          <w:szCs w:val="24"/>
        </w:rPr>
        <w:t>m</w:t>
      </w:r>
      <w:r w:rsidR="001D2031" w:rsidRPr="00AE262A">
        <w:rPr>
          <w:rFonts w:ascii="Times New Roman" w:eastAsia="彩虹粗仿宋" w:hAnsi="Times New Roman" w:cs="Times New Roman"/>
          <w:sz w:val="24"/>
          <w:szCs w:val="24"/>
        </w:rPr>
        <w:t>illion</w:t>
      </w:r>
      <w:r w:rsidRPr="00AE262A">
        <w:rPr>
          <w:rFonts w:ascii="Times New Roman" w:eastAsia="彩虹粗仿宋" w:hAnsi="Times New Roman" w:cs="Times New Roman"/>
          <w:sz w:val="24"/>
          <w:szCs w:val="24"/>
        </w:rPr>
        <w:t xml:space="preserve">, an increase of 79.85% compared with the same period of last year. The Bank actively supported </w:t>
      </w:r>
      <w:r w:rsidR="009652E9">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development of free trade zones and financial reform and innovation in border areas</w:t>
      </w:r>
      <w:r w:rsidR="009652E9">
        <w:rPr>
          <w:rFonts w:ascii="Times New Roman" w:eastAsia="彩虹粗仿宋" w:hAnsi="Times New Roman" w:cs="Times New Roman"/>
          <w:sz w:val="24"/>
          <w:szCs w:val="24"/>
        </w:rPr>
        <w:t>.</w:t>
      </w:r>
      <w:r w:rsidRPr="00AE262A">
        <w:rPr>
          <w:rFonts w:ascii="Times New Roman" w:eastAsia="彩虹粗仿宋" w:hAnsi="Times New Roman" w:cs="Times New Roman"/>
          <w:sz w:val="24"/>
          <w:szCs w:val="24"/>
        </w:rPr>
        <w:t xml:space="preserve"> It was the first </w:t>
      </w:r>
      <w:r w:rsidR="009652E9">
        <w:rPr>
          <w:rFonts w:ascii="Times New Roman" w:eastAsia="彩虹粗仿宋" w:hAnsi="Times New Roman" w:cs="Times New Roman"/>
          <w:sz w:val="24"/>
          <w:szCs w:val="24"/>
        </w:rPr>
        <w:t xml:space="preserve">bank </w:t>
      </w:r>
      <w:r w:rsidRPr="00AE262A">
        <w:rPr>
          <w:rFonts w:ascii="Times New Roman" w:eastAsia="彩虹粗仿宋" w:hAnsi="Times New Roman" w:cs="Times New Roman"/>
          <w:sz w:val="24"/>
          <w:szCs w:val="24"/>
        </w:rPr>
        <w:t xml:space="preserve">to establish an entity in Horgos, Xinjiang Uyghur Autonomous Region; the Bank became one of the first </w:t>
      </w:r>
      <w:r w:rsidR="00794689">
        <w:rPr>
          <w:rFonts w:ascii="Times New Roman" w:eastAsia="彩虹粗仿宋" w:hAnsi="Times New Roman" w:cs="Times New Roman" w:hint="eastAsia"/>
          <w:sz w:val="24"/>
          <w:szCs w:val="24"/>
        </w:rPr>
        <w:t>pilot banks to operate</w:t>
      </w:r>
      <w:r w:rsidRPr="00AE262A">
        <w:rPr>
          <w:rFonts w:ascii="Times New Roman" w:eastAsia="彩虹粗仿宋" w:hAnsi="Times New Roman" w:cs="Times New Roman"/>
          <w:sz w:val="24"/>
          <w:szCs w:val="24"/>
        </w:rPr>
        <w:t xml:space="preserve"> in the Shanghai Free Trade Zone; it established </w:t>
      </w:r>
      <w:r w:rsidR="00146C9C">
        <w:rPr>
          <w:rFonts w:ascii="Times New Roman" w:eastAsia="彩虹粗仿宋" w:hAnsi="Times New Roman" w:cs="Times New Roman" w:hint="eastAsia"/>
          <w:sz w:val="24"/>
          <w:szCs w:val="24"/>
        </w:rPr>
        <w:t xml:space="preserve">cross-strait </w:t>
      </w:r>
      <w:r w:rsidRPr="00AE262A">
        <w:rPr>
          <w:rFonts w:ascii="Times New Roman" w:eastAsia="彩虹粗仿宋" w:hAnsi="Times New Roman" w:cs="Times New Roman"/>
          <w:sz w:val="24"/>
          <w:szCs w:val="24"/>
        </w:rPr>
        <w:t xml:space="preserve">RMB </w:t>
      </w:r>
      <w:r w:rsidR="00146C9C">
        <w:rPr>
          <w:rFonts w:ascii="Times New Roman" w:eastAsia="彩虹粗仿宋" w:hAnsi="Times New Roman" w:cs="Times New Roman" w:hint="eastAsia"/>
          <w:sz w:val="24"/>
          <w:szCs w:val="24"/>
        </w:rPr>
        <w:t>clearing</w:t>
      </w:r>
      <w:r w:rsidR="00146C9C"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centers in Xiamen City of Fujian Province and Guangxi Zhuang Autonomous Region</w:t>
      </w:r>
      <w:r w:rsidR="00146C9C">
        <w:rPr>
          <w:rFonts w:ascii="Times New Roman" w:eastAsia="彩虹粗仿宋" w:hAnsi="Times New Roman" w:cs="Times New Roman" w:hint="eastAsia"/>
          <w:sz w:val="24"/>
          <w:szCs w:val="24"/>
        </w:rPr>
        <w:t xml:space="preserve">, </w:t>
      </w:r>
      <w:r w:rsidR="00AE1449">
        <w:rPr>
          <w:rFonts w:ascii="Times New Roman" w:eastAsia="彩虹粗仿宋" w:hAnsi="Times New Roman" w:cs="Times New Roman" w:hint="eastAsia"/>
          <w:sz w:val="24"/>
          <w:szCs w:val="24"/>
        </w:rPr>
        <w:t>as well as</w:t>
      </w:r>
      <w:r w:rsidR="00146C9C" w:rsidRPr="00146C9C">
        <w:rPr>
          <w:rFonts w:ascii="Times New Roman" w:eastAsia="彩虹粗仿宋" w:hAnsi="Times New Roman" w:cs="Times New Roman"/>
          <w:sz w:val="24"/>
          <w:szCs w:val="24"/>
        </w:rPr>
        <w:t xml:space="preserve"> </w:t>
      </w:r>
      <w:r w:rsidR="00146C9C" w:rsidRPr="00AE262A">
        <w:rPr>
          <w:rFonts w:ascii="Times New Roman" w:eastAsia="彩虹粗仿宋" w:hAnsi="Times New Roman" w:cs="Times New Roman"/>
          <w:sz w:val="24"/>
          <w:szCs w:val="24"/>
        </w:rPr>
        <w:t>Sino-ASEAN</w:t>
      </w:r>
      <w:r w:rsidR="00146C9C">
        <w:rPr>
          <w:rFonts w:ascii="Times New Roman" w:eastAsia="彩虹粗仿宋" w:hAnsi="Times New Roman" w:cs="Times New Roman" w:hint="eastAsia"/>
          <w:sz w:val="24"/>
          <w:szCs w:val="24"/>
        </w:rPr>
        <w:t xml:space="preserve"> cross-border RMB business center</w:t>
      </w:r>
      <w:r w:rsidR="001D2031">
        <w:rPr>
          <w:rFonts w:ascii="Times New Roman" w:eastAsia="彩虹粗仿宋" w:hAnsi="Times New Roman" w:cs="Times New Roman"/>
          <w:sz w:val="24"/>
          <w:szCs w:val="24"/>
        </w:rPr>
        <w:t xml:space="preserve"> – </w:t>
      </w:r>
      <w:r w:rsidR="00146C9C">
        <w:rPr>
          <w:rFonts w:ascii="Times New Roman" w:eastAsia="彩虹粗仿宋" w:hAnsi="Times New Roman" w:cs="Times New Roman" w:hint="eastAsia"/>
          <w:sz w:val="24"/>
          <w:szCs w:val="24"/>
        </w:rPr>
        <w:t xml:space="preserve">piloting </w:t>
      </w:r>
      <w:r w:rsidRPr="00AE262A">
        <w:rPr>
          <w:rFonts w:ascii="Times New Roman" w:eastAsia="彩虹粗仿宋" w:hAnsi="Times New Roman" w:cs="Times New Roman"/>
          <w:sz w:val="24"/>
          <w:szCs w:val="24"/>
        </w:rPr>
        <w:t>cross-border RMB financial service</w:t>
      </w:r>
      <w:r w:rsidR="009652E9">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xml:space="preserve">. </w:t>
      </w:r>
      <w:r w:rsidR="009653BD">
        <w:rPr>
          <w:rFonts w:ascii="Times New Roman" w:eastAsia="彩虹粗仿宋" w:hAnsi="Times New Roman" w:cs="Times New Roman" w:hint="eastAsia"/>
          <w:sz w:val="24"/>
          <w:szCs w:val="24"/>
        </w:rPr>
        <w:t>Meanwhile</w:t>
      </w:r>
      <w:r w:rsidRPr="00AE262A">
        <w:rPr>
          <w:rFonts w:ascii="Times New Roman" w:eastAsia="彩虹粗仿宋" w:hAnsi="Times New Roman" w:cs="Times New Roman"/>
          <w:sz w:val="24"/>
          <w:szCs w:val="24"/>
        </w:rPr>
        <w:t xml:space="preserve">, it successfully issued 1.5 billion </w:t>
      </w:r>
      <w:r w:rsidR="00277CF3">
        <w:rPr>
          <w:rFonts w:ascii="Times New Roman" w:eastAsia="彩虹粗仿宋" w:hAnsi="Times New Roman" w:cs="Times New Roman" w:hint="eastAsia"/>
          <w:sz w:val="24"/>
          <w:szCs w:val="24"/>
        </w:rPr>
        <w:t>yuan RMB bonds</w:t>
      </w:r>
      <w:r w:rsidRPr="00AE262A">
        <w:rPr>
          <w:rFonts w:ascii="Times New Roman" w:eastAsia="彩虹粗仿宋" w:hAnsi="Times New Roman" w:cs="Times New Roman"/>
          <w:sz w:val="24"/>
          <w:szCs w:val="24"/>
        </w:rPr>
        <w:t xml:space="preserve"> in Frankfurt, Germany. </w:t>
      </w:r>
    </w:p>
    <w:p w14:paraId="6ED45545"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62D81AD2" w14:textId="32B71BA7" w:rsidR="001F4246" w:rsidRPr="00AE262A" w:rsidRDefault="00CE5F49" w:rsidP="001F4246">
      <w:pPr>
        <w:widowControl/>
        <w:spacing w:line="276" w:lineRule="auto"/>
        <w:ind w:right="-58"/>
        <w:rPr>
          <w:rFonts w:ascii="Times New Roman" w:eastAsia="彩虹粗仿宋" w:hAnsi="Times New Roman" w:cs="Times New Roman"/>
          <w:b/>
          <w:sz w:val="24"/>
          <w:szCs w:val="24"/>
        </w:rPr>
      </w:pPr>
      <w:r>
        <w:rPr>
          <w:rFonts w:ascii="Times New Roman" w:eastAsia="彩虹粗仿宋" w:hAnsi="Times New Roman" w:cs="Times New Roman" w:hint="eastAsia"/>
          <w:b/>
          <w:sz w:val="24"/>
          <w:szCs w:val="24"/>
        </w:rPr>
        <w:t>Effectively reformed</w:t>
      </w:r>
      <w:r w:rsidR="001F4246" w:rsidRPr="00AE262A">
        <w:rPr>
          <w:rFonts w:ascii="Times New Roman" w:eastAsia="彩虹粗仿宋" w:hAnsi="Times New Roman" w:cs="Times New Roman"/>
          <w:b/>
          <w:sz w:val="24"/>
          <w:szCs w:val="24"/>
        </w:rPr>
        <w:t xml:space="preserve"> risk management </w:t>
      </w:r>
      <w:r w:rsidR="004D7873">
        <w:rPr>
          <w:rFonts w:ascii="Times New Roman" w:eastAsia="彩虹粗仿宋" w:hAnsi="Times New Roman" w:cs="Times New Roman"/>
          <w:b/>
          <w:sz w:val="24"/>
          <w:szCs w:val="24"/>
        </w:rPr>
        <w:t>system</w:t>
      </w:r>
      <w:r w:rsidR="001F4246" w:rsidRPr="00AE262A">
        <w:rPr>
          <w:rFonts w:ascii="Times New Roman" w:eastAsia="彩虹粗仿宋" w:hAnsi="Times New Roman" w:cs="Times New Roman"/>
          <w:b/>
          <w:sz w:val="24"/>
          <w:szCs w:val="24"/>
        </w:rPr>
        <w:t xml:space="preserve"> </w:t>
      </w:r>
      <w:r w:rsidR="004D7873">
        <w:rPr>
          <w:rFonts w:ascii="Times New Roman" w:eastAsia="彩虹粗仿宋" w:hAnsi="Times New Roman" w:cs="Times New Roman"/>
          <w:b/>
          <w:sz w:val="24"/>
          <w:szCs w:val="24"/>
        </w:rPr>
        <w:t>and</w:t>
      </w:r>
      <w:r w:rsidR="001F4246" w:rsidRPr="00AE262A">
        <w:rPr>
          <w:rFonts w:ascii="Times New Roman" w:eastAsia="彩虹粗仿宋" w:hAnsi="Times New Roman" w:cs="Times New Roman"/>
          <w:b/>
          <w:sz w:val="24"/>
          <w:szCs w:val="24"/>
        </w:rPr>
        <w:t xml:space="preserve"> </w:t>
      </w:r>
      <w:r w:rsidR="00313599">
        <w:rPr>
          <w:rFonts w:ascii="Times New Roman" w:eastAsia="彩虹粗仿宋" w:hAnsi="Times New Roman" w:cs="Times New Roman" w:hint="eastAsia"/>
          <w:b/>
          <w:sz w:val="24"/>
          <w:szCs w:val="24"/>
        </w:rPr>
        <w:t xml:space="preserve">maintained </w:t>
      </w:r>
      <w:r w:rsidR="001F4246" w:rsidRPr="00AE262A">
        <w:rPr>
          <w:rFonts w:ascii="Times New Roman" w:eastAsia="彩虹粗仿宋" w:hAnsi="Times New Roman" w:cs="Times New Roman"/>
          <w:b/>
          <w:sz w:val="24"/>
          <w:szCs w:val="24"/>
        </w:rPr>
        <w:t xml:space="preserve">asset quality </w:t>
      </w:r>
      <w:r w:rsidR="00313599">
        <w:rPr>
          <w:rFonts w:ascii="Times New Roman" w:eastAsia="彩虹粗仿宋" w:hAnsi="Times New Roman" w:cs="Times New Roman" w:hint="eastAsia"/>
          <w:b/>
          <w:sz w:val="24"/>
          <w:szCs w:val="24"/>
        </w:rPr>
        <w:t>steadily</w:t>
      </w:r>
    </w:p>
    <w:p w14:paraId="1789D3B7" w14:textId="3712B994"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After CCB made adjustment</w:t>
      </w:r>
      <w:r w:rsidR="000057B5">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xml:space="preserve"> and reform</w:t>
      </w:r>
      <w:r w:rsidR="000057B5">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xml:space="preserve"> to its risk management</w:t>
      </w:r>
      <w:r w:rsidR="004542FB">
        <w:rPr>
          <w:rFonts w:ascii="Times New Roman" w:eastAsia="彩虹粗仿宋" w:hAnsi="Times New Roman" w:cs="Times New Roman" w:hint="eastAsia"/>
          <w:sz w:val="24"/>
          <w:szCs w:val="24"/>
        </w:rPr>
        <w:t xml:space="preserve"> system</w:t>
      </w:r>
      <w:r w:rsidRPr="00AE262A">
        <w:rPr>
          <w:rFonts w:ascii="Times New Roman" w:eastAsia="彩虹粗仿宋" w:hAnsi="Times New Roman" w:cs="Times New Roman"/>
          <w:sz w:val="24"/>
          <w:szCs w:val="24"/>
        </w:rPr>
        <w:t>, credit</w:t>
      </w:r>
      <w:r w:rsidR="004542FB">
        <w:rPr>
          <w:rFonts w:ascii="Times New Roman" w:eastAsia="彩虹粗仿宋" w:hAnsi="Times New Roman" w:cs="Times New Roman" w:hint="eastAsia"/>
          <w:sz w:val="24"/>
          <w:szCs w:val="24"/>
        </w:rPr>
        <w:t xml:space="preserve"> progress</w:t>
      </w:r>
      <w:r w:rsidRPr="00AE262A">
        <w:rPr>
          <w:rFonts w:ascii="Times New Roman" w:eastAsia="彩虹粗仿宋" w:hAnsi="Times New Roman" w:cs="Times New Roman"/>
          <w:sz w:val="24"/>
          <w:szCs w:val="24"/>
        </w:rPr>
        <w:t xml:space="preserve"> and credit </w:t>
      </w:r>
      <w:r w:rsidR="004542FB">
        <w:rPr>
          <w:rFonts w:ascii="Times New Roman" w:eastAsia="彩虹粗仿宋" w:hAnsi="Times New Roman" w:cs="Times New Roman" w:hint="eastAsia"/>
          <w:sz w:val="24"/>
          <w:szCs w:val="24"/>
        </w:rPr>
        <w:t>approval</w:t>
      </w:r>
      <w:r w:rsidR="004542FB"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mechanism, the Bank’s credit </w:t>
      </w:r>
      <w:r w:rsidR="008B4B8E">
        <w:rPr>
          <w:rFonts w:ascii="Times New Roman" w:eastAsia="彩虹粗仿宋" w:hAnsi="Times New Roman" w:cs="Times New Roman" w:hint="eastAsia"/>
          <w:sz w:val="24"/>
          <w:szCs w:val="24"/>
        </w:rPr>
        <w:t>approval</w:t>
      </w:r>
      <w:r w:rsidR="008B4B8E"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business procedures were separated into several sections, namely pre-lending evaluation, credit approval and post-lending management. The separation enabled the Bank’s relevant business units to </w:t>
      </w:r>
      <w:r w:rsidR="000057B5">
        <w:rPr>
          <w:rFonts w:ascii="Times New Roman" w:eastAsia="彩虹粗仿宋" w:hAnsi="Times New Roman" w:cs="Times New Roman"/>
          <w:sz w:val="24"/>
          <w:szCs w:val="24"/>
        </w:rPr>
        <w:t>assume</w:t>
      </w:r>
      <w:r w:rsidRPr="00AE262A">
        <w:rPr>
          <w:rFonts w:ascii="Times New Roman" w:eastAsia="彩虹粗仿宋" w:hAnsi="Times New Roman" w:cs="Times New Roman"/>
          <w:sz w:val="24"/>
          <w:szCs w:val="24"/>
        </w:rPr>
        <w:t xml:space="preserve"> their responsibilities and ensured overall </w:t>
      </w:r>
      <w:r w:rsidR="00912703">
        <w:rPr>
          <w:rFonts w:ascii="Times New Roman" w:eastAsia="彩虹粗仿宋" w:hAnsi="Times New Roman" w:cs="Times New Roman"/>
          <w:sz w:val="24"/>
          <w:szCs w:val="24"/>
        </w:rPr>
        <w:t xml:space="preserve">risk </w:t>
      </w:r>
      <w:r w:rsidRPr="00912703">
        <w:rPr>
          <w:rFonts w:ascii="Times New Roman" w:eastAsia="彩虹粗仿宋" w:hAnsi="Times New Roman" w:cs="Times New Roman"/>
          <w:sz w:val="24"/>
          <w:szCs w:val="24"/>
        </w:rPr>
        <w:t>prevention</w:t>
      </w:r>
      <w:r w:rsidRPr="00AE262A">
        <w:rPr>
          <w:rFonts w:ascii="Times New Roman" w:eastAsia="彩虹粗仿宋" w:hAnsi="Times New Roman" w:cs="Times New Roman"/>
          <w:sz w:val="24"/>
          <w:szCs w:val="24"/>
        </w:rPr>
        <w:t xml:space="preserve"> and management. The Bank’s ability </w:t>
      </w:r>
      <w:r w:rsidR="00912703">
        <w:rPr>
          <w:rFonts w:ascii="Times New Roman" w:eastAsia="彩虹粗仿宋" w:hAnsi="Times New Roman" w:cs="Times New Roman"/>
          <w:sz w:val="24"/>
          <w:szCs w:val="24"/>
        </w:rPr>
        <w:t>to review</w:t>
      </w:r>
      <w:r w:rsidRPr="00AE262A">
        <w:rPr>
          <w:rFonts w:ascii="Times New Roman" w:eastAsia="彩虹粗仿宋" w:hAnsi="Times New Roman" w:cs="Times New Roman"/>
          <w:sz w:val="24"/>
          <w:szCs w:val="24"/>
        </w:rPr>
        <w:t xml:space="preserve"> </w:t>
      </w:r>
      <w:r w:rsidRPr="00912703">
        <w:rPr>
          <w:rFonts w:ascii="Times New Roman" w:eastAsia="彩虹粗仿宋" w:hAnsi="Times New Roman" w:cs="Times New Roman"/>
          <w:sz w:val="24"/>
          <w:szCs w:val="24"/>
        </w:rPr>
        <w:t xml:space="preserve">credit </w:t>
      </w:r>
      <w:r w:rsidR="008B4B8E">
        <w:rPr>
          <w:rFonts w:ascii="Times New Roman" w:eastAsia="彩虹粗仿宋" w:hAnsi="Times New Roman" w:cs="Times New Roman" w:hint="eastAsia"/>
          <w:sz w:val="24"/>
          <w:szCs w:val="24"/>
        </w:rPr>
        <w:t>approval</w:t>
      </w:r>
      <w:r w:rsidR="008B4B8E" w:rsidRPr="00AE262A">
        <w:rPr>
          <w:rFonts w:ascii="Times New Roman" w:eastAsia="彩虹粗仿宋" w:hAnsi="Times New Roman" w:cs="Times New Roman"/>
          <w:sz w:val="24"/>
          <w:szCs w:val="24"/>
        </w:rPr>
        <w:t xml:space="preserve"> </w:t>
      </w:r>
      <w:r w:rsidR="008B4B8E">
        <w:rPr>
          <w:rFonts w:ascii="Times New Roman" w:eastAsia="彩虹粗仿宋" w:hAnsi="Times New Roman" w:cs="Times New Roman" w:hint="eastAsia"/>
          <w:sz w:val="24"/>
          <w:szCs w:val="24"/>
        </w:rPr>
        <w:t>was</w:t>
      </w:r>
      <w:r w:rsidRPr="00AE262A">
        <w:rPr>
          <w:rFonts w:ascii="Times New Roman" w:eastAsia="彩虹粗仿宋" w:hAnsi="Times New Roman" w:cs="Times New Roman"/>
          <w:sz w:val="24"/>
          <w:szCs w:val="24"/>
        </w:rPr>
        <w:t xml:space="preserve"> further enhanced via different methods, such as credit granting at the Group level, comprehensive credit </w:t>
      </w:r>
      <w:r w:rsidR="00EB0561">
        <w:rPr>
          <w:rFonts w:ascii="Times New Roman" w:eastAsia="彩虹粗仿宋" w:hAnsi="Times New Roman" w:cs="Times New Roman" w:hint="eastAsia"/>
          <w:sz w:val="24"/>
          <w:szCs w:val="24"/>
        </w:rPr>
        <w:t>approval</w:t>
      </w:r>
      <w:r w:rsidR="00EB0561"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and global credit </w:t>
      </w:r>
      <w:r w:rsidR="00EB0561">
        <w:rPr>
          <w:rFonts w:ascii="Times New Roman" w:eastAsia="彩虹粗仿宋" w:hAnsi="Times New Roman" w:cs="Times New Roman" w:hint="eastAsia"/>
          <w:sz w:val="24"/>
          <w:szCs w:val="24"/>
        </w:rPr>
        <w:t>approval</w:t>
      </w:r>
      <w:r w:rsidRPr="00AE262A">
        <w:rPr>
          <w:rFonts w:ascii="Times New Roman" w:eastAsia="彩虹粗仿宋" w:hAnsi="Times New Roman" w:cs="Times New Roman"/>
          <w:sz w:val="24"/>
          <w:szCs w:val="24"/>
        </w:rPr>
        <w:t xml:space="preserve">, which further satisfied comprehensive financial needs </w:t>
      </w:r>
      <w:r w:rsidR="0006397E">
        <w:rPr>
          <w:rFonts w:ascii="Times New Roman" w:eastAsia="彩虹粗仿宋" w:hAnsi="Times New Roman" w:cs="Times New Roman" w:hint="eastAsia"/>
          <w:sz w:val="24"/>
          <w:szCs w:val="24"/>
        </w:rPr>
        <w:t>of</w:t>
      </w:r>
      <w:r w:rsidR="0006397E"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customers in a more centralized and efficient way. The Bank’s risk management has become more responsive to </w:t>
      </w:r>
      <w:r w:rsidR="00912703">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market. </w:t>
      </w:r>
      <w:r w:rsidR="008F7B75">
        <w:rPr>
          <w:rFonts w:ascii="Times New Roman" w:eastAsia="彩虹粗仿宋" w:hAnsi="Times New Roman" w:cs="Times New Roman"/>
          <w:sz w:val="24"/>
          <w:szCs w:val="24"/>
        </w:rPr>
        <w:t>Its c</w:t>
      </w:r>
      <w:r w:rsidRPr="00AE262A">
        <w:rPr>
          <w:rFonts w:ascii="Times New Roman" w:eastAsia="彩虹粗仿宋" w:hAnsi="Times New Roman" w:cs="Times New Roman"/>
          <w:sz w:val="24"/>
          <w:szCs w:val="24"/>
        </w:rPr>
        <w:t xml:space="preserve">redit </w:t>
      </w:r>
      <w:r w:rsidR="0006397E">
        <w:rPr>
          <w:rFonts w:ascii="Times New Roman" w:eastAsia="彩虹粗仿宋" w:hAnsi="Times New Roman" w:cs="Times New Roman" w:hint="eastAsia"/>
          <w:sz w:val="24"/>
          <w:szCs w:val="24"/>
        </w:rPr>
        <w:t>approval</w:t>
      </w:r>
      <w:r w:rsidR="0006397E"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cycle </w:t>
      </w:r>
      <w:r w:rsidR="008F7B75">
        <w:rPr>
          <w:rFonts w:ascii="Times New Roman" w:eastAsia="彩虹粗仿宋" w:hAnsi="Times New Roman" w:cs="Times New Roman"/>
          <w:sz w:val="24"/>
          <w:szCs w:val="24"/>
        </w:rPr>
        <w:t>was</w:t>
      </w:r>
      <w:r w:rsidRPr="00AE262A">
        <w:rPr>
          <w:rFonts w:ascii="Times New Roman" w:eastAsia="彩虹粗仿宋" w:hAnsi="Times New Roman" w:cs="Times New Roman"/>
          <w:sz w:val="24"/>
          <w:szCs w:val="24"/>
        </w:rPr>
        <w:t xml:space="preserve"> greatly shortened </w:t>
      </w:r>
      <w:r w:rsidR="008F7B75">
        <w:rPr>
          <w:rFonts w:ascii="Times New Roman" w:eastAsia="彩虹粗仿宋" w:hAnsi="Times New Roman" w:cs="Times New Roman"/>
          <w:sz w:val="24"/>
          <w:szCs w:val="24"/>
        </w:rPr>
        <w:t>which</w:t>
      </w:r>
      <w:r w:rsidRPr="00AE262A">
        <w:rPr>
          <w:rFonts w:ascii="Times New Roman" w:eastAsia="彩虹粗仿宋" w:hAnsi="Times New Roman" w:cs="Times New Roman"/>
          <w:sz w:val="24"/>
          <w:szCs w:val="24"/>
        </w:rPr>
        <w:t xml:space="preserve"> effectively boosted customer experience. In response to uncertainties in economic restructuring, CCB launched an annual campaign </w:t>
      </w:r>
      <w:r w:rsidR="008F7B75">
        <w:rPr>
          <w:rFonts w:ascii="Times New Roman" w:eastAsia="彩虹粗仿宋" w:hAnsi="Times New Roman" w:cs="Times New Roman"/>
          <w:sz w:val="24"/>
          <w:szCs w:val="24"/>
        </w:rPr>
        <w:t>on the</w:t>
      </w:r>
      <w:r w:rsidRPr="00AE262A">
        <w:rPr>
          <w:rFonts w:ascii="Times New Roman" w:eastAsia="彩虹粗仿宋" w:hAnsi="Times New Roman" w:cs="Times New Roman"/>
          <w:sz w:val="24"/>
          <w:szCs w:val="24"/>
        </w:rPr>
        <w:t xml:space="preserve"> prevention and management of credit risk. During the campaign, the Bank took a number of actions, including enhancing risk detection, dismissing potential risk, resolving key risk issues under </w:t>
      </w:r>
      <w:r w:rsidR="008F7B75">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direct leadership of the Bank’s management, and reinforcing disposal of non-performing loan</w:t>
      </w:r>
      <w:r w:rsidR="008F7B75">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xml:space="preserve">. As a result, </w:t>
      </w:r>
      <w:r w:rsidR="008F7B75">
        <w:rPr>
          <w:rFonts w:ascii="Times New Roman" w:eastAsia="彩虹粗仿宋" w:hAnsi="Times New Roman" w:cs="Times New Roman"/>
          <w:sz w:val="24"/>
          <w:szCs w:val="24"/>
        </w:rPr>
        <w:t xml:space="preserve">the </w:t>
      </w:r>
      <w:r w:rsidRPr="00AE262A">
        <w:rPr>
          <w:rFonts w:ascii="Times New Roman" w:eastAsia="彩虹粗仿宋" w:hAnsi="Times New Roman" w:cs="Times New Roman"/>
          <w:sz w:val="24"/>
          <w:szCs w:val="24"/>
        </w:rPr>
        <w:t xml:space="preserve">quality of the Bank’s credit assets remained stable, and loans to industries with excess capacity and local government </w:t>
      </w:r>
      <w:r w:rsidR="006C2F55">
        <w:rPr>
          <w:rFonts w:ascii="Times New Roman" w:eastAsia="彩虹粗仿宋" w:hAnsi="Times New Roman" w:cs="Times New Roman"/>
          <w:sz w:val="24"/>
          <w:szCs w:val="24"/>
        </w:rPr>
        <w:t xml:space="preserve">financing </w:t>
      </w:r>
      <w:r w:rsidRPr="00AE262A">
        <w:rPr>
          <w:rFonts w:ascii="Times New Roman" w:eastAsia="彩虹粗仿宋" w:hAnsi="Times New Roman" w:cs="Times New Roman"/>
          <w:sz w:val="24"/>
          <w:szCs w:val="24"/>
        </w:rPr>
        <w:t>vehicles declined compared with the end of last year. As CCB’s interim results indicate, in the first half of 2014, the Bank’s non-performing loan ratio stood at 1.04%, up 0.05</w:t>
      </w:r>
      <w:r w:rsidR="00286387">
        <w:rPr>
          <w:rFonts w:ascii="Times New Roman" w:eastAsia="彩虹粗仿宋" w:hAnsi="Times New Roman" w:cs="Times New Roman"/>
          <w:sz w:val="24"/>
          <w:szCs w:val="24"/>
        </w:rPr>
        <w:t xml:space="preserve"> percentage point</w:t>
      </w:r>
      <w:r w:rsidRPr="00AE262A">
        <w:rPr>
          <w:rFonts w:ascii="Times New Roman" w:eastAsia="彩虹粗仿宋" w:hAnsi="Times New Roman" w:cs="Times New Roman"/>
          <w:sz w:val="24"/>
          <w:szCs w:val="24"/>
        </w:rPr>
        <w:t xml:space="preserve"> from the end of last year; the ratio of </w:t>
      </w:r>
      <w:r w:rsidRPr="00AE262A">
        <w:rPr>
          <w:rFonts w:ascii="Times New Roman" w:eastAsia="彩虹粗仿宋" w:hAnsi="Times New Roman" w:cs="Times New Roman"/>
          <w:sz w:val="24"/>
          <w:szCs w:val="24"/>
        </w:rPr>
        <w:lastRenderedPageBreak/>
        <w:t xml:space="preserve">allowances to non-performing loans was 248.87%, maintaining a comparatively high level among peers; the Bank also maintained an adequate level of liquidity and a reasonable level of allowances to non-performing loan ratio. </w:t>
      </w:r>
    </w:p>
    <w:p w14:paraId="1D8BDCC3" w14:textId="77777777" w:rsidR="001F4246" w:rsidRPr="00286387" w:rsidRDefault="001F4246" w:rsidP="001F4246">
      <w:pPr>
        <w:widowControl/>
        <w:spacing w:line="276" w:lineRule="auto"/>
        <w:ind w:right="-58"/>
        <w:rPr>
          <w:rFonts w:ascii="Times New Roman" w:eastAsia="彩虹粗仿宋" w:hAnsi="Times New Roman" w:cs="Times New Roman"/>
          <w:sz w:val="24"/>
          <w:szCs w:val="24"/>
        </w:rPr>
      </w:pPr>
    </w:p>
    <w:p w14:paraId="19A0F10B" w14:textId="1945E570"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In addition, CCB’s capital adequacy level was further improved. In April 2014, </w:t>
      </w:r>
      <w:r w:rsidR="008F7B75">
        <w:rPr>
          <w:rFonts w:ascii="Times New Roman" w:eastAsia="彩虹粗仿宋" w:hAnsi="Times New Roman" w:cs="Times New Roman"/>
          <w:sz w:val="24"/>
          <w:szCs w:val="24"/>
        </w:rPr>
        <w:t xml:space="preserve">after receiving regulatory approval, </w:t>
      </w:r>
      <w:r w:rsidRPr="00AE262A">
        <w:rPr>
          <w:rFonts w:ascii="Times New Roman" w:eastAsia="彩虹粗仿宋" w:hAnsi="Times New Roman" w:cs="Times New Roman"/>
          <w:sz w:val="24"/>
          <w:szCs w:val="24"/>
        </w:rPr>
        <w:t>the Bank bec</w:t>
      </w:r>
      <w:r w:rsidR="008F7B75">
        <w:rPr>
          <w:rFonts w:ascii="Times New Roman" w:eastAsia="彩虹粗仿宋" w:hAnsi="Times New Roman" w:cs="Times New Roman"/>
          <w:sz w:val="24"/>
          <w:szCs w:val="24"/>
        </w:rPr>
        <w:t>a</w:t>
      </w:r>
      <w:r w:rsidRPr="00AE262A">
        <w:rPr>
          <w:rFonts w:ascii="Times New Roman" w:eastAsia="彩虹粗仿宋" w:hAnsi="Times New Roman" w:cs="Times New Roman"/>
          <w:sz w:val="24"/>
          <w:szCs w:val="24"/>
        </w:rPr>
        <w:t>me one of the first banks to implement advanced method</w:t>
      </w:r>
      <w:r w:rsidR="008F7B75">
        <w:rPr>
          <w:rFonts w:ascii="Times New Roman" w:eastAsia="彩虹粗仿宋" w:hAnsi="Times New Roman" w:cs="Times New Roman"/>
          <w:sz w:val="24"/>
          <w:szCs w:val="24"/>
        </w:rPr>
        <w:t>s</w:t>
      </w:r>
      <w:r w:rsidRPr="00AE262A">
        <w:rPr>
          <w:rFonts w:ascii="Times New Roman" w:eastAsia="彩虹粗仿宋" w:hAnsi="Times New Roman" w:cs="Times New Roman"/>
          <w:sz w:val="24"/>
          <w:szCs w:val="24"/>
        </w:rPr>
        <w:t xml:space="preserve"> in capital management. It seized the opportunity to continue boosting the fundamental capability in capital management, </w:t>
      </w:r>
      <w:r w:rsidRPr="00912703">
        <w:rPr>
          <w:rFonts w:ascii="Times New Roman" w:eastAsia="彩虹粗仿宋" w:hAnsi="Times New Roman" w:cs="Times New Roman"/>
          <w:sz w:val="24"/>
          <w:szCs w:val="24"/>
        </w:rPr>
        <w:t>transforming into</w:t>
      </w:r>
      <w:r w:rsidRPr="00AE262A">
        <w:rPr>
          <w:rFonts w:ascii="Times New Roman" w:eastAsia="彩虹粗仿宋" w:hAnsi="Times New Roman" w:cs="Times New Roman"/>
          <w:sz w:val="24"/>
          <w:szCs w:val="24"/>
        </w:rPr>
        <w:t xml:space="preserve"> a management mode</w:t>
      </w:r>
      <w:r w:rsidR="00B6031A">
        <w:rPr>
          <w:rFonts w:ascii="Times New Roman" w:eastAsia="彩虹粗仿宋" w:hAnsi="Times New Roman" w:cs="Times New Roman"/>
          <w:sz w:val="24"/>
          <w:szCs w:val="24"/>
        </w:rPr>
        <w:t>l</w:t>
      </w:r>
      <w:r w:rsidRPr="00AE262A">
        <w:rPr>
          <w:rFonts w:ascii="Times New Roman" w:eastAsia="彩虹粗仿宋" w:hAnsi="Times New Roman" w:cs="Times New Roman"/>
          <w:sz w:val="24"/>
          <w:szCs w:val="24"/>
        </w:rPr>
        <w:t xml:space="preserve"> </w:t>
      </w:r>
      <w:r w:rsidR="00B6031A">
        <w:rPr>
          <w:rFonts w:ascii="Times New Roman" w:eastAsia="彩虹粗仿宋" w:hAnsi="Times New Roman" w:cs="Times New Roman"/>
          <w:sz w:val="24"/>
          <w:szCs w:val="24"/>
        </w:rPr>
        <w:t>used</w:t>
      </w:r>
      <w:r w:rsidR="00B6031A"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by financial groups, enhancing management and planning at the Group level, and </w:t>
      </w:r>
      <w:r w:rsidRPr="00B6031A">
        <w:rPr>
          <w:rFonts w:ascii="Times New Roman" w:eastAsia="彩虹粗仿宋" w:hAnsi="Times New Roman" w:cs="Times New Roman"/>
          <w:sz w:val="24"/>
          <w:szCs w:val="24"/>
        </w:rPr>
        <w:t>pushing forward</w:t>
      </w:r>
      <w:r w:rsidR="00B6031A">
        <w:rPr>
          <w:rFonts w:ascii="Times New Roman" w:eastAsia="彩虹粗仿宋" w:hAnsi="Times New Roman" w:cs="Times New Roman"/>
          <w:sz w:val="24"/>
          <w:szCs w:val="24"/>
        </w:rPr>
        <w:t xml:space="preserve"> the</w:t>
      </w:r>
      <w:r w:rsidRPr="00B6031A">
        <w:rPr>
          <w:rFonts w:ascii="Times New Roman" w:eastAsia="彩虹粗仿宋" w:hAnsi="Times New Roman" w:cs="Times New Roman"/>
          <w:sz w:val="24"/>
          <w:szCs w:val="24"/>
        </w:rPr>
        <w:t xml:space="preserve"> intensive utilization</w:t>
      </w:r>
      <w:r w:rsidRPr="00AE262A">
        <w:rPr>
          <w:rFonts w:ascii="Times New Roman" w:eastAsia="彩虹粗仿宋" w:hAnsi="Times New Roman" w:cs="Times New Roman"/>
          <w:sz w:val="24"/>
          <w:szCs w:val="24"/>
        </w:rPr>
        <w:t xml:space="preserve"> of capital. By sharing various advantageous resources internally, the Bank aims to maximize its overall income. According to the advanced measurement method, as at the end of 30 June 2014, CCB’s capital ratio was 13.89%, with </w:t>
      </w:r>
      <w:r w:rsidR="00B6031A" w:rsidRPr="00801A5B">
        <w:rPr>
          <w:rFonts w:ascii="Times New Roman" w:eastAsia="彩虹粗仿宋" w:hAnsi="Times New Roman" w:cs="Times New Roman"/>
          <w:sz w:val="24"/>
          <w:szCs w:val="24"/>
        </w:rPr>
        <w:t>c</w:t>
      </w:r>
      <w:r w:rsidRPr="008B24DF">
        <w:rPr>
          <w:rFonts w:ascii="Times New Roman" w:eastAsia="彩虹粗仿宋" w:hAnsi="Times New Roman" w:cs="Times New Roman"/>
          <w:sz w:val="24"/>
          <w:szCs w:val="24"/>
        </w:rPr>
        <w:t>ommon</w:t>
      </w:r>
      <w:r w:rsidRPr="00AE262A">
        <w:rPr>
          <w:rFonts w:ascii="Times New Roman" w:eastAsia="彩虹粗仿宋" w:hAnsi="Times New Roman" w:cs="Times New Roman"/>
          <w:sz w:val="24"/>
          <w:szCs w:val="24"/>
        </w:rPr>
        <w:t xml:space="preserve"> equity tier </w:t>
      </w:r>
      <w:r w:rsidR="008D5C41">
        <w:rPr>
          <w:rFonts w:ascii="Times New Roman" w:eastAsia="彩虹粗仿宋" w:hAnsi="Times New Roman" w:cs="Times New Roman" w:hint="eastAsia"/>
          <w:sz w:val="24"/>
          <w:szCs w:val="24"/>
        </w:rPr>
        <w:t>one</w:t>
      </w:r>
      <w:r w:rsidR="008D5C41"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ratio at 11.21%. </w:t>
      </w:r>
    </w:p>
    <w:p w14:paraId="4E4C026B" w14:textId="77777777" w:rsidR="001F4246" w:rsidRPr="00AE262A" w:rsidRDefault="001F4246" w:rsidP="001F4246">
      <w:pPr>
        <w:widowControl/>
        <w:spacing w:line="276" w:lineRule="auto"/>
        <w:ind w:right="-58"/>
        <w:rPr>
          <w:rFonts w:ascii="Times New Roman" w:eastAsia="彩虹粗仿宋" w:hAnsi="Times New Roman" w:cs="Times New Roman"/>
          <w:sz w:val="24"/>
          <w:szCs w:val="24"/>
        </w:rPr>
      </w:pPr>
    </w:p>
    <w:p w14:paraId="5505B164" w14:textId="24FA3536" w:rsidR="001F4246" w:rsidRPr="00AE262A" w:rsidRDefault="001F4246" w:rsidP="001F4246">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 xml:space="preserve">According to CCB’s interim report, the Bank’s operation and management performance was fully recognized by media and institutions. The Bank received 45 accolades at home and abroad and had remarkable results in some of the rankings, including </w:t>
      </w:r>
      <w:r w:rsidR="008D5C41">
        <w:rPr>
          <w:rFonts w:ascii="Times New Roman" w:eastAsia="彩虹粗仿宋" w:hAnsi="Times New Roman" w:cs="Times New Roman" w:hint="eastAsia"/>
          <w:sz w:val="24"/>
          <w:szCs w:val="24"/>
        </w:rPr>
        <w:t xml:space="preserve">the </w:t>
      </w:r>
      <w:r w:rsidRPr="00AE262A">
        <w:rPr>
          <w:rFonts w:ascii="Times New Roman" w:eastAsia="彩虹粗仿宋" w:hAnsi="Times New Roman" w:cs="Times New Roman"/>
          <w:sz w:val="24"/>
          <w:szCs w:val="24"/>
        </w:rPr>
        <w:t xml:space="preserve">second place in the “Top 1000 World Banks” in terms of tier </w:t>
      </w:r>
      <w:r w:rsidR="008D5C41">
        <w:rPr>
          <w:rFonts w:ascii="Times New Roman" w:eastAsia="彩虹粗仿宋" w:hAnsi="Times New Roman" w:cs="Times New Roman" w:hint="eastAsia"/>
          <w:sz w:val="24"/>
          <w:szCs w:val="24"/>
        </w:rPr>
        <w:t>one</w:t>
      </w:r>
      <w:r w:rsidR="008D5C41" w:rsidRPr="00AE262A">
        <w:rPr>
          <w:rFonts w:ascii="Times New Roman" w:eastAsia="彩虹粗仿宋" w:hAnsi="Times New Roman" w:cs="Times New Roman"/>
          <w:sz w:val="24"/>
          <w:szCs w:val="24"/>
        </w:rPr>
        <w:t xml:space="preserve"> </w:t>
      </w:r>
      <w:r w:rsidRPr="00AE262A">
        <w:rPr>
          <w:rFonts w:ascii="Times New Roman" w:eastAsia="彩虹粗仿宋" w:hAnsi="Times New Roman" w:cs="Times New Roman"/>
          <w:sz w:val="24"/>
          <w:szCs w:val="24"/>
        </w:rPr>
        <w:t xml:space="preserve">capital by </w:t>
      </w:r>
      <w:r w:rsidR="006D4AD3">
        <w:rPr>
          <w:rFonts w:ascii="Times New Roman" w:eastAsia="彩虹粗仿宋" w:hAnsi="Times New Roman" w:cs="Times New Roman" w:hint="eastAsia"/>
          <w:i/>
          <w:sz w:val="24"/>
          <w:szCs w:val="24"/>
        </w:rPr>
        <w:t>T</w:t>
      </w:r>
      <w:r w:rsidR="006D4AD3" w:rsidRPr="009B1537">
        <w:rPr>
          <w:rFonts w:ascii="Times New Roman" w:eastAsia="彩虹粗仿宋" w:hAnsi="Times New Roman" w:cs="Times New Roman"/>
          <w:i/>
          <w:sz w:val="24"/>
          <w:szCs w:val="24"/>
        </w:rPr>
        <w:t xml:space="preserve">he </w:t>
      </w:r>
      <w:r w:rsidRPr="009B1537">
        <w:rPr>
          <w:rFonts w:ascii="Times New Roman" w:eastAsia="彩虹粗仿宋" w:hAnsi="Times New Roman" w:cs="Times New Roman"/>
          <w:i/>
          <w:sz w:val="24"/>
          <w:szCs w:val="24"/>
        </w:rPr>
        <w:t>Banker</w:t>
      </w:r>
      <w:r w:rsidRPr="00AE262A">
        <w:rPr>
          <w:rFonts w:ascii="Times New Roman" w:eastAsia="彩虹粗仿宋" w:hAnsi="Times New Roman" w:cs="Times New Roman"/>
          <w:sz w:val="24"/>
          <w:szCs w:val="24"/>
        </w:rPr>
        <w:t xml:space="preserve"> magazine, advancing by three places from the previous year; </w:t>
      </w:r>
      <w:r w:rsidR="008D5C41">
        <w:rPr>
          <w:rFonts w:ascii="Times New Roman" w:eastAsia="彩虹粗仿宋" w:hAnsi="Times New Roman" w:cs="Times New Roman" w:hint="eastAsia"/>
          <w:sz w:val="24"/>
          <w:szCs w:val="24"/>
        </w:rPr>
        <w:t xml:space="preserve">the </w:t>
      </w:r>
      <w:r w:rsidRPr="00AE262A">
        <w:rPr>
          <w:rFonts w:ascii="Times New Roman" w:eastAsia="彩虹粗仿宋" w:hAnsi="Times New Roman" w:cs="Times New Roman"/>
          <w:sz w:val="24"/>
          <w:szCs w:val="24"/>
        </w:rPr>
        <w:t xml:space="preserve">second place in “Forbes Global 2000”; and </w:t>
      </w:r>
      <w:r w:rsidR="008D5C41">
        <w:rPr>
          <w:rFonts w:ascii="Times New Roman" w:eastAsia="彩虹粗仿宋" w:hAnsi="Times New Roman" w:cs="Times New Roman" w:hint="eastAsia"/>
          <w:sz w:val="24"/>
          <w:szCs w:val="24"/>
        </w:rPr>
        <w:t xml:space="preserve">the </w:t>
      </w:r>
      <w:r w:rsidRPr="00AE262A">
        <w:rPr>
          <w:rFonts w:ascii="Times New Roman" w:eastAsia="彩虹粗仿宋" w:hAnsi="Times New Roman" w:cs="Times New Roman"/>
          <w:sz w:val="24"/>
          <w:szCs w:val="24"/>
        </w:rPr>
        <w:t xml:space="preserve">38th place in “Fortune Global 500”, climbing by 12 places from the previous year. </w:t>
      </w:r>
    </w:p>
    <w:p w14:paraId="56732018" w14:textId="77777777" w:rsidR="00CD14E0" w:rsidRPr="00AE262A" w:rsidRDefault="00CD14E0">
      <w:pPr>
        <w:widowControl/>
        <w:spacing w:line="276" w:lineRule="auto"/>
        <w:ind w:right="-58"/>
        <w:rPr>
          <w:rFonts w:ascii="Times New Roman" w:eastAsia="彩虹粗仿宋" w:hAnsi="Times New Roman" w:cs="Times New Roman"/>
          <w:sz w:val="24"/>
          <w:szCs w:val="24"/>
        </w:rPr>
      </w:pPr>
    </w:p>
    <w:p w14:paraId="19A31F99" w14:textId="77777777" w:rsidR="00CD14E0" w:rsidRPr="00AE262A" w:rsidRDefault="00CD14E0">
      <w:pPr>
        <w:widowControl/>
        <w:spacing w:line="276" w:lineRule="auto"/>
        <w:ind w:right="-58"/>
        <w:jc w:val="center"/>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w:t>
      </w:r>
    </w:p>
    <w:p w14:paraId="21FFF31F" w14:textId="77777777" w:rsidR="00CD14E0" w:rsidRPr="00AE262A" w:rsidRDefault="00CD14E0">
      <w:pPr>
        <w:widowControl/>
        <w:spacing w:line="276" w:lineRule="auto"/>
        <w:ind w:right="-58"/>
        <w:rPr>
          <w:rFonts w:ascii="Times New Roman" w:eastAsia="彩虹粗仿宋" w:hAnsi="Times New Roman" w:cs="Times New Roman"/>
          <w:sz w:val="24"/>
          <w:szCs w:val="24"/>
        </w:rPr>
      </w:pPr>
    </w:p>
    <w:p w14:paraId="731EAB20" w14:textId="77777777" w:rsidR="00CD14E0" w:rsidRPr="00AE262A" w:rsidRDefault="00CD14E0">
      <w:pPr>
        <w:widowControl/>
        <w:spacing w:line="276" w:lineRule="auto"/>
        <w:ind w:right="-58"/>
        <w:rPr>
          <w:rFonts w:ascii="Times New Roman" w:eastAsia="彩虹粗仿宋" w:hAnsi="Times New Roman" w:cs="Times New Roman"/>
          <w:b/>
          <w:bCs/>
          <w:sz w:val="24"/>
          <w:szCs w:val="24"/>
        </w:rPr>
      </w:pPr>
      <w:r w:rsidRPr="00AE262A">
        <w:rPr>
          <w:rFonts w:ascii="Times New Roman" w:eastAsia="彩虹粗仿宋" w:hAnsi="Times New Roman" w:cs="Times New Roman"/>
          <w:b/>
          <w:bCs/>
          <w:sz w:val="24"/>
          <w:szCs w:val="24"/>
        </w:rPr>
        <w:t>About China Construction Bank Corporation</w:t>
      </w:r>
    </w:p>
    <w:p w14:paraId="2DA060CD" w14:textId="58FDB0B8" w:rsidR="00CD14E0" w:rsidRPr="00AE262A" w:rsidRDefault="00CD14E0" w:rsidP="009B1537">
      <w:pPr>
        <w:widowControl/>
        <w:spacing w:line="276" w:lineRule="auto"/>
        <w:ind w:right="-58"/>
        <w:rPr>
          <w:rFonts w:ascii="Times New Roman" w:eastAsia="彩虹粗仿宋" w:hAnsi="Times New Roman" w:cs="Times New Roman"/>
          <w:sz w:val="24"/>
          <w:szCs w:val="24"/>
        </w:rPr>
      </w:pPr>
      <w:r w:rsidRPr="00AE262A">
        <w:rPr>
          <w:rFonts w:ascii="Times New Roman" w:eastAsia="彩虹粗仿宋" w:hAnsi="Times New Roman" w:cs="Times New Roman"/>
          <w:sz w:val="24"/>
          <w:szCs w:val="24"/>
        </w:rPr>
        <w:t>China Construction Bank Corporation, established in October 1954 and headquartered in Beijing, is a large and leading joint-stock commercial bank in China and a well-known brand in overseas markets. The Bank was listed on Hong Kong Stock Exchange in October 2005, and was listed on the Shanghai Stock Exchange in September 2007. As at the end of 2013,</w:t>
      </w:r>
      <w:r w:rsidRPr="00E63563">
        <w:rPr>
          <w:rFonts w:ascii="Times New Roman" w:eastAsia="彩虹粗仿宋" w:hAnsi="Times New Roman" w:cs="Times New Roman"/>
          <w:color w:val="000000" w:themeColor="text1"/>
          <w:sz w:val="24"/>
          <w:szCs w:val="24"/>
        </w:rPr>
        <w:t xml:space="preserve"> the market capitalization of the Bank reached USD187.8 billion, ranking fifth among a</w:t>
      </w:r>
      <w:r w:rsidRPr="00AE262A">
        <w:rPr>
          <w:rFonts w:ascii="Times New Roman" w:eastAsia="彩虹粗仿宋" w:hAnsi="Times New Roman" w:cs="Times New Roman"/>
          <w:sz w:val="24"/>
          <w:szCs w:val="24"/>
        </w:rPr>
        <w:t xml:space="preserve">ll listed banks in the world. The Bank upholds an operating philosophy of “customers-centric and market-oriented”, adheres to a strategic direction featuring “integration, multifunction and intensiveness”, and strives to provide customers with premium, efficient, comprehensive and modern financial services by accelerating and achieving innovation across products, channels and service models. </w:t>
      </w:r>
    </w:p>
    <w:sectPr w:rsidR="00CD14E0" w:rsidRPr="00AE262A" w:rsidSect="00632C20">
      <w:headerReference w:type="default" r:id="rId8"/>
      <w:footerReference w:type="default" r:id="rId9"/>
      <w:pgSz w:w="11906" w:h="16838"/>
      <w:pgMar w:top="341" w:right="1800" w:bottom="1440" w:left="1800" w:header="794" w:footer="96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596E6" w15:done="0"/>
  <w15:commentEx w15:paraId="48C956BD" w15:done="0"/>
  <w15:commentEx w15:paraId="6F1167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2B374" w14:textId="77777777" w:rsidR="00253720" w:rsidRDefault="00253720" w:rsidP="00632C20">
      <w:pPr>
        <w:rPr>
          <w:rFonts w:cs="Times New Roman"/>
        </w:rPr>
      </w:pPr>
      <w:r>
        <w:rPr>
          <w:rFonts w:cs="Times New Roman"/>
        </w:rPr>
        <w:separator/>
      </w:r>
    </w:p>
  </w:endnote>
  <w:endnote w:type="continuationSeparator" w:id="0">
    <w:p w14:paraId="7F6FA2F6" w14:textId="77777777" w:rsidR="00253720" w:rsidRDefault="00253720" w:rsidP="00632C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彩虹粗仿宋">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A4FB" w14:textId="77777777" w:rsidR="00CD14E0" w:rsidRDefault="00CD14E0">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A676A7">
      <w:rPr>
        <w:rFonts w:ascii="Times New Roman" w:hAnsi="Times New Roman" w:cs="Times New Roman"/>
        <w:noProof/>
        <w:sz w:val="22"/>
        <w:szCs w:val="22"/>
      </w:rPr>
      <w:t>1</w:t>
    </w:r>
    <w:r>
      <w:rPr>
        <w:rFonts w:ascii="Times New Roman" w:hAnsi="Times New Roman" w:cs="Times New Roman"/>
        <w:sz w:val="22"/>
        <w:szCs w:val="22"/>
      </w:rPr>
      <w:fldChar w:fldCharType="end"/>
    </w:r>
  </w:p>
  <w:p w14:paraId="374D2972" w14:textId="77777777" w:rsidR="00CD14E0" w:rsidRDefault="00CD14E0">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5CB6F" w14:textId="77777777" w:rsidR="00253720" w:rsidRDefault="00253720" w:rsidP="00632C20">
      <w:pPr>
        <w:rPr>
          <w:rFonts w:cs="Times New Roman"/>
        </w:rPr>
      </w:pPr>
      <w:r>
        <w:rPr>
          <w:rFonts w:cs="Times New Roman"/>
        </w:rPr>
        <w:separator/>
      </w:r>
    </w:p>
  </w:footnote>
  <w:footnote w:type="continuationSeparator" w:id="0">
    <w:p w14:paraId="767F3C09" w14:textId="77777777" w:rsidR="00253720" w:rsidRDefault="00253720" w:rsidP="00632C2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48DE" w14:textId="77777777" w:rsidR="00CD14E0" w:rsidRDefault="00520A4D" w:rsidP="00B13DD6">
    <w:pPr>
      <w:pStyle w:val="Header"/>
      <w:pBdr>
        <w:bottom w:val="none" w:sz="0" w:space="0" w:color="auto"/>
      </w:pBdr>
      <w:ind w:left="-270"/>
      <w:jc w:val="right"/>
      <w:rPr>
        <w:rFonts w:cs="Times New Roman"/>
      </w:rPr>
    </w:pPr>
    <w:r>
      <w:rPr>
        <w:rFonts w:cs="Times New Roman"/>
        <w:noProof/>
      </w:rPr>
      <w:drawing>
        <wp:inline distT="0" distB="0" distL="0" distR="0" wp14:anchorId="228ABEEF" wp14:editId="3FCB989D">
          <wp:extent cx="2328545" cy="755015"/>
          <wp:effectExtent l="0" t="0" r="0" b="698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591" b="34756"/>
                  <a:stretch>
                    <a:fillRect/>
                  </a:stretch>
                </pic:blipFill>
                <pic:spPr bwMode="auto">
                  <a:xfrm>
                    <a:off x="0" y="0"/>
                    <a:ext cx="2328545" cy="755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0F87"/>
    <w:multiLevelType w:val="multilevel"/>
    <w:tmpl w:val="32E10F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Chen">
    <w15:presenceInfo w15:providerId="None" w15:userId="Che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trackRevisions/>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20"/>
    <w:rsid w:val="000057B5"/>
    <w:rsid w:val="0003140E"/>
    <w:rsid w:val="000322AD"/>
    <w:rsid w:val="00033928"/>
    <w:rsid w:val="00035833"/>
    <w:rsid w:val="00036B77"/>
    <w:rsid w:val="000522A6"/>
    <w:rsid w:val="0006397E"/>
    <w:rsid w:val="00072208"/>
    <w:rsid w:val="000A0F1C"/>
    <w:rsid w:val="000A44E2"/>
    <w:rsid w:val="000C3FEA"/>
    <w:rsid w:val="0010112D"/>
    <w:rsid w:val="001066E0"/>
    <w:rsid w:val="00115CA1"/>
    <w:rsid w:val="00127AE5"/>
    <w:rsid w:val="00135075"/>
    <w:rsid w:val="00141B0E"/>
    <w:rsid w:val="00146548"/>
    <w:rsid w:val="00146C9C"/>
    <w:rsid w:val="00161609"/>
    <w:rsid w:val="001641F5"/>
    <w:rsid w:val="00164AAC"/>
    <w:rsid w:val="001B2555"/>
    <w:rsid w:val="001B5848"/>
    <w:rsid w:val="001D2031"/>
    <w:rsid w:val="001E703A"/>
    <w:rsid w:val="001F1B6D"/>
    <w:rsid w:val="001F36A9"/>
    <w:rsid w:val="001F4246"/>
    <w:rsid w:val="001F7B90"/>
    <w:rsid w:val="00222F9F"/>
    <w:rsid w:val="00225C64"/>
    <w:rsid w:val="00230084"/>
    <w:rsid w:val="00241F50"/>
    <w:rsid w:val="0024710B"/>
    <w:rsid w:val="00253720"/>
    <w:rsid w:val="00257675"/>
    <w:rsid w:val="00270E95"/>
    <w:rsid w:val="00277CF3"/>
    <w:rsid w:val="00286387"/>
    <w:rsid w:val="002874C6"/>
    <w:rsid w:val="00291893"/>
    <w:rsid w:val="002B5B45"/>
    <w:rsid w:val="002B6EB7"/>
    <w:rsid w:val="002C2470"/>
    <w:rsid w:val="002E7FEE"/>
    <w:rsid w:val="00313599"/>
    <w:rsid w:val="00346788"/>
    <w:rsid w:val="00370C0C"/>
    <w:rsid w:val="00371751"/>
    <w:rsid w:val="00377E47"/>
    <w:rsid w:val="003A133B"/>
    <w:rsid w:val="003C314D"/>
    <w:rsid w:val="003C4800"/>
    <w:rsid w:val="003D4E5A"/>
    <w:rsid w:val="003D6368"/>
    <w:rsid w:val="00403824"/>
    <w:rsid w:val="004076C5"/>
    <w:rsid w:val="00410935"/>
    <w:rsid w:val="0043196B"/>
    <w:rsid w:val="004372BF"/>
    <w:rsid w:val="00440E47"/>
    <w:rsid w:val="0044500C"/>
    <w:rsid w:val="004542FB"/>
    <w:rsid w:val="004621D7"/>
    <w:rsid w:val="004852CB"/>
    <w:rsid w:val="004A0FDC"/>
    <w:rsid w:val="004A1C8C"/>
    <w:rsid w:val="004D7873"/>
    <w:rsid w:val="004F243C"/>
    <w:rsid w:val="00520A4D"/>
    <w:rsid w:val="00547F9B"/>
    <w:rsid w:val="005975CF"/>
    <w:rsid w:val="005A3C6F"/>
    <w:rsid w:val="005B16C3"/>
    <w:rsid w:val="005B2B77"/>
    <w:rsid w:val="005C4EB9"/>
    <w:rsid w:val="005E53A1"/>
    <w:rsid w:val="00615453"/>
    <w:rsid w:val="00632C20"/>
    <w:rsid w:val="00645E6A"/>
    <w:rsid w:val="00653E2A"/>
    <w:rsid w:val="00662CD5"/>
    <w:rsid w:val="00694B76"/>
    <w:rsid w:val="006B238C"/>
    <w:rsid w:val="006B2BEB"/>
    <w:rsid w:val="006B4FE3"/>
    <w:rsid w:val="006B5D5C"/>
    <w:rsid w:val="006C2F55"/>
    <w:rsid w:val="006D080F"/>
    <w:rsid w:val="006D13B8"/>
    <w:rsid w:val="006D3DF0"/>
    <w:rsid w:val="006D4AD3"/>
    <w:rsid w:val="006E46C2"/>
    <w:rsid w:val="006F4D95"/>
    <w:rsid w:val="00704AC0"/>
    <w:rsid w:val="00717F2F"/>
    <w:rsid w:val="00721E7C"/>
    <w:rsid w:val="007259F3"/>
    <w:rsid w:val="007543B7"/>
    <w:rsid w:val="00755E53"/>
    <w:rsid w:val="007565BD"/>
    <w:rsid w:val="00767EF1"/>
    <w:rsid w:val="0077196E"/>
    <w:rsid w:val="007770DE"/>
    <w:rsid w:val="007808FF"/>
    <w:rsid w:val="007901FB"/>
    <w:rsid w:val="00794689"/>
    <w:rsid w:val="0079799A"/>
    <w:rsid w:val="007B3BBE"/>
    <w:rsid w:val="007C233A"/>
    <w:rsid w:val="007E5051"/>
    <w:rsid w:val="007E5D34"/>
    <w:rsid w:val="007E690D"/>
    <w:rsid w:val="007F603C"/>
    <w:rsid w:val="008008B4"/>
    <w:rsid w:val="00801A5B"/>
    <w:rsid w:val="00802F5C"/>
    <w:rsid w:val="008169DD"/>
    <w:rsid w:val="00831C2E"/>
    <w:rsid w:val="00833412"/>
    <w:rsid w:val="00836B84"/>
    <w:rsid w:val="00852152"/>
    <w:rsid w:val="00855BAC"/>
    <w:rsid w:val="00883E9C"/>
    <w:rsid w:val="00890F09"/>
    <w:rsid w:val="008A1436"/>
    <w:rsid w:val="008A7CD9"/>
    <w:rsid w:val="008B088B"/>
    <w:rsid w:val="008B24DF"/>
    <w:rsid w:val="008B4B8E"/>
    <w:rsid w:val="008C56DF"/>
    <w:rsid w:val="008D5C41"/>
    <w:rsid w:val="008F79C9"/>
    <w:rsid w:val="008F7B75"/>
    <w:rsid w:val="00912703"/>
    <w:rsid w:val="0092392F"/>
    <w:rsid w:val="00926336"/>
    <w:rsid w:val="009363F0"/>
    <w:rsid w:val="009520C9"/>
    <w:rsid w:val="00952A8C"/>
    <w:rsid w:val="009652E9"/>
    <w:rsid w:val="009653BD"/>
    <w:rsid w:val="00986AF2"/>
    <w:rsid w:val="00986CC8"/>
    <w:rsid w:val="00995AB4"/>
    <w:rsid w:val="009A1B79"/>
    <w:rsid w:val="009B1537"/>
    <w:rsid w:val="009D28FC"/>
    <w:rsid w:val="009E2A1F"/>
    <w:rsid w:val="009E5F7C"/>
    <w:rsid w:val="00A0599F"/>
    <w:rsid w:val="00A41FDF"/>
    <w:rsid w:val="00A676A7"/>
    <w:rsid w:val="00A7649D"/>
    <w:rsid w:val="00A860FA"/>
    <w:rsid w:val="00A913F6"/>
    <w:rsid w:val="00AB56A8"/>
    <w:rsid w:val="00AD1869"/>
    <w:rsid w:val="00AD6869"/>
    <w:rsid w:val="00AE1449"/>
    <w:rsid w:val="00AE262A"/>
    <w:rsid w:val="00AF24D0"/>
    <w:rsid w:val="00B06276"/>
    <w:rsid w:val="00B121B6"/>
    <w:rsid w:val="00B13DD6"/>
    <w:rsid w:val="00B16DB1"/>
    <w:rsid w:val="00B47729"/>
    <w:rsid w:val="00B6031A"/>
    <w:rsid w:val="00B7774D"/>
    <w:rsid w:val="00B84735"/>
    <w:rsid w:val="00B91E4E"/>
    <w:rsid w:val="00BA1F45"/>
    <w:rsid w:val="00BC67FF"/>
    <w:rsid w:val="00BD253B"/>
    <w:rsid w:val="00BE1CA9"/>
    <w:rsid w:val="00C30686"/>
    <w:rsid w:val="00C35602"/>
    <w:rsid w:val="00C5011F"/>
    <w:rsid w:val="00C56396"/>
    <w:rsid w:val="00C60EF3"/>
    <w:rsid w:val="00C63896"/>
    <w:rsid w:val="00C6465F"/>
    <w:rsid w:val="00C70F02"/>
    <w:rsid w:val="00C97C2E"/>
    <w:rsid w:val="00CA744B"/>
    <w:rsid w:val="00CB575A"/>
    <w:rsid w:val="00CB6EEC"/>
    <w:rsid w:val="00CC0DC6"/>
    <w:rsid w:val="00CD14E0"/>
    <w:rsid w:val="00CE5F49"/>
    <w:rsid w:val="00D00F37"/>
    <w:rsid w:val="00D10FEB"/>
    <w:rsid w:val="00D22B5A"/>
    <w:rsid w:val="00D45A5E"/>
    <w:rsid w:val="00D63677"/>
    <w:rsid w:val="00D6621A"/>
    <w:rsid w:val="00D67CFC"/>
    <w:rsid w:val="00D81F73"/>
    <w:rsid w:val="00D8700B"/>
    <w:rsid w:val="00DC7778"/>
    <w:rsid w:val="00DD1AD4"/>
    <w:rsid w:val="00DE7019"/>
    <w:rsid w:val="00DF1E9B"/>
    <w:rsid w:val="00DF2A27"/>
    <w:rsid w:val="00DF3AAF"/>
    <w:rsid w:val="00E03DC9"/>
    <w:rsid w:val="00E17B73"/>
    <w:rsid w:val="00E228A7"/>
    <w:rsid w:val="00E22C81"/>
    <w:rsid w:val="00E53D90"/>
    <w:rsid w:val="00E55E41"/>
    <w:rsid w:val="00E63563"/>
    <w:rsid w:val="00E63A53"/>
    <w:rsid w:val="00E66683"/>
    <w:rsid w:val="00E80459"/>
    <w:rsid w:val="00E95C2A"/>
    <w:rsid w:val="00E96FE0"/>
    <w:rsid w:val="00EB0561"/>
    <w:rsid w:val="00ED149E"/>
    <w:rsid w:val="00EE169A"/>
    <w:rsid w:val="00F217CA"/>
    <w:rsid w:val="00F34AF3"/>
    <w:rsid w:val="00F523C6"/>
    <w:rsid w:val="00F64F88"/>
    <w:rsid w:val="00F673CE"/>
    <w:rsid w:val="00F7168C"/>
    <w:rsid w:val="00F8025A"/>
    <w:rsid w:val="00FA60E1"/>
    <w:rsid w:val="00FC2571"/>
    <w:rsid w:val="00FC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BA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20"/>
    <w:pPr>
      <w:widowControl w:val="0"/>
      <w:jc w:val="both"/>
    </w:pPr>
    <w:rPr>
      <w:rFonts w:ascii="Calibri"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32C20"/>
    <w:rPr>
      <w:sz w:val="20"/>
      <w:szCs w:val="20"/>
    </w:rPr>
  </w:style>
  <w:style w:type="character" w:customStyle="1" w:styleId="CommentTextChar">
    <w:name w:val="Comment Text Char"/>
    <w:link w:val="CommentText"/>
    <w:uiPriority w:val="99"/>
    <w:semiHidden/>
    <w:locked/>
    <w:rsid w:val="00632C20"/>
    <w:rPr>
      <w:sz w:val="20"/>
      <w:szCs w:val="20"/>
    </w:rPr>
  </w:style>
  <w:style w:type="paragraph" w:styleId="CommentSubject">
    <w:name w:val="annotation subject"/>
    <w:basedOn w:val="CommentText"/>
    <w:next w:val="CommentText"/>
    <w:link w:val="CommentSubjectChar"/>
    <w:uiPriority w:val="99"/>
    <w:semiHidden/>
    <w:rsid w:val="00632C20"/>
    <w:rPr>
      <w:b/>
      <w:bCs/>
    </w:rPr>
  </w:style>
  <w:style w:type="character" w:customStyle="1" w:styleId="CommentSubjectChar">
    <w:name w:val="Comment Subject Char"/>
    <w:link w:val="CommentSubject"/>
    <w:uiPriority w:val="99"/>
    <w:semiHidden/>
    <w:locked/>
    <w:rsid w:val="00632C20"/>
    <w:rPr>
      <w:b/>
      <w:bCs/>
      <w:sz w:val="20"/>
      <w:szCs w:val="20"/>
    </w:rPr>
  </w:style>
  <w:style w:type="paragraph" w:styleId="BalloonText">
    <w:name w:val="Balloon Text"/>
    <w:basedOn w:val="Normal"/>
    <w:link w:val="BalloonTextChar"/>
    <w:uiPriority w:val="99"/>
    <w:semiHidden/>
    <w:rsid w:val="00632C20"/>
    <w:rPr>
      <w:rFonts w:ascii="Tahoma" w:hAnsi="Tahoma" w:cs="Tahoma"/>
      <w:sz w:val="16"/>
      <w:szCs w:val="16"/>
    </w:rPr>
  </w:style>
  <w:style w:type="character" w:customStyle="1" w:styleId="BalloonTextChar">
    <w:name w:val="Balloon Text Char"/>
    <w:link w:val="BalloonText"/>
    <w:uiPriority w:val="99"/>
    <w:semiHidden/>
    <w:locked/>
    <w:rsid w:val="00632C20"/>
    <w:rPr>
      <w:rFonts w:ascii="Tahoma" w:hAnsi="Tahoma" w:cs="Tahoma"/>
      <w:sz w:val="16"/>
      <w:szCs w:val="16"/>
    </w:rPr>
  </w:style>
  <w:style w:type="paragraph" w:styleId="Footer">
    <w:name w:val="footer"/>
    <w:basedOn w:val="Normal"/>
    <w:link w:val="FooterChar"/>
    <w:uiPriority w:val="99"/>
    <w:rsid w:val="00632C20"/>
    <w:pPr>
      <w:tabs>
        <w:tab w:val="center" w:pos="4153"/>
        <w:tab w:val="right" w:pos="8306"/>
      </w:tabs>
      <w:snapToGrid w:val="0"/>
      <w:jc w:val="left"/>
    </w:pPr>
    <w:rPr>
      <w:sz w:val="18"/>
      <w:szCs w:val="18"/>
    </w:rPr>
  </w:style>
  <w:style w:type="character" w:customStyle="1" w:styleId="FooterChar">
    <w:name w:val="Footer Char"/>
    <w:link w:val="Footer"/>
    <w:uiPriority w:val="99"/>
    <w:locked/>
    <w:rsid w:val="00632C20"/>
    <w:rPr>
      <w:sz w:val="18"/>
      <w:szCs w:val="18"/>
    </w:rPr>
  </w:style>
  <w:style w:type="paragraph" w:styleId="Header">
    <w:name w:val="header"/>
    <w:basedOn w:val="Normal"/>
    <w:link w:val="HeaderChar"/>
    <w:uiPriority w:val="99"/>
    <w:rsid w:val="00632C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632C20"/>
    <w:rPr>
      <w:sz w:val="18"/>
      <w:szCs w:val="18"/>
    </w:rPr>
  </w:style>
  <w:style w:type="character" w:styleId="CommentReference">
    <w:name w:val="annotation reference"/>
    <w:uiPriority w:val="99"/>
    <w:semiHidden/>
    <w:rsid w:val="00632C20"/>
    <w:rPr>
      <w:sz w:val="16"/>
      <w:szCs w:val="16"/>
    </w:rPr>
  </w:style>
  <w:style w:type="paragraph" w:customStyle="1" w:styleId="Revision1">
    <w:name w:val="Revision1"/>
    <w:hidden/>
    <w:uiPriority w:val="99"/>
    <w:semiHidden/>
    <w:rsid w:val="00632C20"/>
  </w:style>
  <w:style w:type="paragraph" w:customStyle="1" w:styleId="ListParagraph1">
    <w:name w:val="List Paragraph1"/>
    <w:basedOn w:val="Normal"/>
    <w:uiPriority w:val="99"/>
    <w:rsid w:val="00632C20"/>
    <w:pPr>
      <w:ind w:left="720"/>
    </w:pPr>
  </w:style>
  <w:style w:type="character" w:styleId="PageNumber">
    <w:name w:val="page number"/>
    <w:basedOn w:val="DefaultParagraphFont"/>
    <w:uiPriority w:val="99"/>
    <w:rsid w:val="00B7774D"/>
  </w:style>
  <w:style w:type="paragraph" w:styleId="Revision">
    <w:name w:val="Revision"/>
    <w:hidden/>
    <w:uiPriority w:val="99"/>
    <w:semiHidden/>
    <w:rsid w:val="005B2B77"/>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20"/>
    <w:pPr>
      <w:widowControl w:val="0"/>
      <w:jc w:val="both"/>
    </w:pPr>
    <w:rPr>
      <w:rFonts w:ascii="Calibri"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32C20"/>
    <w:rPr>
      <w:sz w:val="20"/>
      <w:szCs w:val="20"/>
    </w:rPr>
  </w:style>
  <w:style w:type="character" w:customStyle="1" w:styleId="CommentTextChar">
    <w:name w:val="Comment Text Char"/>
    <w:link w:val="CommentText"/>
    <w:uiPriority w:val="99"/>
    <w:semiHidden/>
    <w:locked/>
    <w:rsid w:val="00632C20"/>
    <w:rPr>
      <w:sz w:val="20"/>
      <w:szCs w:val="20"/>
    </w:rPr>
  </w:style>
  <w:style w:type="paragraph" w:styleId="CommentSubject">
    <w:name w:val="annotation subject"/>
    <w:basedOn w:val="CommentText"/>
    <w:next w:val="CommentText"/>
    <w:link w:val="CommentSubjectChar"/>
    <w:uiPriority w:val="99"/>
    <w:semiHidden/>
    <w:rsid w:val="00632C20"/>
    <w:rPr>
      <w:b/>
      <w:bCs/>
    </w:rPr>
  </w:style>
  <w:style w:type="character" w:customStyle="1" w:styleId="CommentSubjectChar">
    <w:name w:val="Comment Subject Char"/>
    <w:link w:val="CommentSubject"/>
    <w:uiPriority w:val="99"/>
    <w:semiHidden/>
    <w:locked/>
    <w:rsid w:val="00632C20"/>
    <w:rPr>
      <w:b/>
      <w:bCs/>
      <w:sz w:val="20"/>
      <w:szCs w:val="20"/>
    </w:rPr>
  </w:style>
  <w:style w:type="paragraph" w:styleId="BalloonText">
    <w:name w:val="Balloon Text"/>
    <w:basedOn w:val="Normal"/>
    <w:link w:val="BalloonTextChar"/>
    <w:uiPriority w:val="99"/>
    <w:semiHidden/>
    <w:rsid w:val="00632C20"/>
    <w:rPr>
      <w:rFonts w:ascii="Tahoma" w:hAnsi="Tahoma" w:cs="Tahoma"/>
      <w:sz w:val="16"/>
      <w:szCs w:val="16"/>
    </w:rPr>
  </w:style>
  <w:style w:type="character" w:customStyle="1" w:styleId="BalloonTextChar">
    <w:name w:val="Balloon Text Char"/>
    <w:link w:val="BalloonText"/>
    <w:uiPriority w:val="99"/>
    <w:semiHidden/>
    <w:locked/>
    <w:rsid w:val="00632C20"/>
    <w:rPr>
      <w:rFonts w:ascii="Tahoma" w:hAnsi="Tahoma" w:cs="Tahoma"/>
      <w:sz w:val="16"/>
      <w:szCs w:val="16"/>
    </w:rPr>
  </w:style>
  <w:style w:type="paragraph" w:styleId="Footer">
    <w:name w:val="footer"/>
    <w:basedOn w:val="Normal"/>
    <w:link w:val="FooterChar"/>
    <w:uiPriority w:val="99"/>
    <w:rsid w:val="00632C20"/>
    <w:pPr>
      <w:tabs>
        <w:tab w:val="center" w:pos="4153"/>
        <w:tab w:val="right" w:pos="8306"/>
      </w:tabs>
      <w:snapToGrid w:val="0"/>
      <w:jc w:val="left"/>
    </w:pPr>
    <w:rPr>
      <w:sz w:val="18"/>
      <w:szCs w:val="18"/>
    </w:rPr>
  </w:style>
  <w:style w:type="character" w:customStyle="1" w:styleId="FooterChar">
    <w:name w:val="Footer Char"/>
    <w:link w:val="Footer"/>
    <w:uiPriority w:val="99"/>
    <w:locked/>
    <w:rsid w:val="00632C20"/>
    <w:rPr>
      <w:sz w:val="18"/>
      <w:szCs w:val="18"/>
    </w:rPr>
  </w:style>
  <w:style w:type="paragraph" w:styleId="Header">
    <w:name w:val="header"/>
    <w:basedOn w:val="Normal"/>
    <w:link w:val="HeaderChar"/>
    <w:uiPriority w:val="99"/>
    <w:rsid w:val="00632C2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632C20"/>
    <w:rPr>
      <w:sz w:val="18"/>
      <w:szCs w:val="18"/>
    </w:rPr>
  </w:style>
  <w:style w:type="character" w:styleId="CommentReference">
    <w:name w:val="annotation reference"/>
    <w:uiPriority w:val="99"/>
    <w:semiHidden/>
    <w:rsid w:val="00632C20"/>
    <w:rPr>
      <w:sz w:val="16"/>
      <w:szCs w:val="16"/>
    </w:rPr>
  </w:style>
  <w:style w:type="paragraph" w:customStyle="1" w:styleId="Revision1">
    <w:name w:val="Revision1"/>
    <w:hidden/>
    <w:uiPriority w:val="99"/>
    <w:semiHidden/>
    <w:rsid w:val="00632C20"/>
  </w:style>
  <w:style w:type="paragraph" w:customStyle="1" w:styleId="ListParagraph1">
    <w:name w:val="List Paragraph1"/>
    <w:basedOn w:val="Normal"/>
    <w:uiPriority w:val="99"/>
    <w:rsid w:val="00632C20"/>
    <w:pPr>
      <w:ind w:left="720"/>
    </w:pPr>
  </w:style>
  <w:style w:type="character" w:styleId="PageNumber">
    <w:name w:val="page number"/>
    <w:basedOn w:val="DefaultParagraphFont"/>
    <w:uiPriority w:val="99"/>
    <w:rsid w:val="00B7774D"/>
  </w:style>
  <w:style w:type="paragraph" w:styleId="Revision">
    <w:name w:val="Revision"/>
    <w:hidden/>
    <w:uiPriority w:val="99"/>
    <w:semiHidden/>
    <w:rsid w:val="005B2B77"/>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李承阳</dc:creator>
  <cp:lastModifiedBy>Chen Chen</cp:lastModifiedBy>
  <cp:revision>3</cp:revision>
  <cp:lastPrinted>2014-08-29T12:21:00Z</cp:lastPrinted>
  <dcterms:created xsi:type="dcterms:W3CDTF">2014-08-29T12:51:00Z</dcterms:created>
  <dcterms:modified xsi:type="dcterms:W3CDTF">2014-08-29T12:51:00Z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