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FB310" w14:textId="034E04C1" w:rsidR="00391F8B" w:rsidRPr="00470D30" w:rsidRDefault="00391F8B" w:rsidP="00391F8B">
      <w:pPr>
        <w:adjustRightInd w:val="0"/>
        <w:snapToGrid w:val="0"/>
        <w:spacing w:line="360" w:lineRule="exact"/>
        <w:rPr>
          <w:rFonts w:eastAsia="彩虹小标宋"/>
          <w:b/>
          <w:bCs/>
          <w:u w:val="single"/>
        </w:rPr>
      </w:pPr>
      <w:bookmarkStart w:id="0" w:name="OLE_LINK3"/>
      <w:r w:rsidRPr="00470D30">
        <w:rPr>
          <w:rFonts w:eastAsia="彩虹小标宋"/>
          <w:b/>
          <w:bCs/>
          <w:u w:val="single"/>
        </w:rPr>
        <w:t>Press release</w:t>
      </w:r>
    </w:p>
    <w:p w14:paraId="53C516EC" w14:textId="77777777" w:rsidR="00391F8B" w:rsidRPr="00470D30" w:rsidRDefault="00391F8B" w:rsidP="00391F8B">
      <w:pPr>
        <w:adjustRightInd w:val="0"/>
        <w:snapToGrid w:val="0"/>
        <w:spacing w:line="360" w:lineRule="exact"/>
        <w:rPr>
          <w:rFonts w:eastAsia="彩虹小标宋"/>
        </w:rPr>
      </w:pPr>
      <w:r w:rsidRPr="00470D30">
        <w:rPr>
          <w:rFonts w:eastAsia="彩虹小标宋"/>
        </w:rPr>
        <w:t>For immediate distribution</w:t>
      </w:r>
    </w:p>
    <w:p w14:paraId="4B0D38B8" w14:textId="77777777" w:rsidR="00391F8B" w:rsidRPr="00470D30" w:rsidRDefault="00391F8B" w:rsidP="00391F8B">
      <w:pPr>
        <w:adjustRightInd w:val="0"/>
        <w:snapToGrid w:val="0"/>
        <w:spacing w:line="360" w:lineRule="exact"/>
        <w:rPr>
          <w:rFonts w:eastAsia="彩虹小标宋"/>
          <w:sz w:val="24"/>
          <w:szCs w:val="24"/>
        </w:rPr>
      </w:pPr>
    </w:p>
    <w:p w14:paraId="5545D4A4" w14:textId="77777777" w:rsidR="00391F8B" w:rsidRPr="005A4F07" w:rsidRDefault="00391F8B" w:rsidP="005A4F07">
      <w:pPr>
        <w:spacing w:line="360" w:lineRule="exact"/>
        <w:jc w:val="center"/>
        <w:rPr>
          <w:b/>
          <w:w w:val="95"/>
          <w:sz w:val="24"/>
          <w:szCs w:val="24"/>
        </w:rPr>
      </w:pPr>
      <w:r w:rsidRPr="005A4F07">
        <w:rPr>
          <w:b/>
          <w:w w:val="95"/>
          <w:sz w:val="24"/>
          <w:szCs w:val="24"/>
        </w:rPr>
        <w:t>Fully Implement the Three Major Strategies to Energize Internal Growth Impetus</w:t>
      </w:r>
    </w:p>
    <w:p w14:paraId="72FB83B2" w14:textId="77777777" w:rsidR="00391F8B" w:rsidRPr="005A4F07" w:rsidRDefault="00391F8B" w:rsidP="005A4F07">
      <w:pPr>
        <w:spacing w:line="360" w:lineRule="exact"/>
        <w:jc w:val="center"/>
        <w:rPr>
          <w:b/>
          <w:w w:val="95"/>
          <w:sz w:val="24"/>
          <w:szCs w:val="24"/>
        </w:rPr>
      </w:pPr>
      <w:r w:rsidRPr="005A4F07">
        <w:rPr>
          <w:b/>
          <w:w w:val="95"/>
          <w:sz w:val="24"/>
          <w:szCs w:val="24"/>
        </w:rPr>
        <w:t>Serve the Real Economy with Prudent Management and Consolidated Advantages</w:t>
      </w:r>
    </w:p>
    <w:p w14:paraId="35F847FD" w14:textId="77777777" w:rsidR="00391F8B" w:rsidRPr="00470D30" w:rsidRDefault="00391F8B" w:rsidP="00391F8B">
      <w:pPr>
        <w:spacing w:line="360" w:lineRule="exact"/>
        <w:jc w:val="center"/>
      </w:pPr>
      <w:r w:rsidRPr="00470D30">
        <w:t>China Construction Bank Announces 2018 Annual Results</w:t>
      </w:r>
      <w:bookmarkStart w:id="1" w:name="_GoBack"/>
      <w:bookmarkEnd w:id="1"/>
    </w:p>
    <w:p w14:paraId="10EE865C" w14:textId="77777777" w:rsidR="00391F8B" w:rsidRPr="00470D30" w:rsidRDefault="00391F8B" w:rsidP="00391F8B">
      <w:pPr>
        <w:spacing w:line="360" w:lineRule="exact"/>
        <w:rPr>
          <w:sz w:val="24"/>
          <w:szCs w:val="24"/>
        </w:rPr>
      </w:pPr>
    </w:p>
    <w:p w14:paraId="29A53BE8" w14:textId="77777777" w:rsidR="00391F8B" w:rsidRPr="00470D30" w:rsidRDefault="00391F8B" w:rsidP="009D2007">
      <w:pPr>
        <w:spacing w:line="360" w:lineRule="exact"/>
        <w:rPr>
          <w:rFonts w:eastAsia="彩虹粗仿宋"/>
          <w:b/>
          <w:sz w:val="24"/>
          <w:szCs w:val="24"/>
        </w:rPr>
      </w:pPr>
      <w:r w:rsidRPr="00470D30">
        <w:rPr>
          <w:rFonts w:eastAsia="彩虹粗仿宋"/>
          <w:b/>
          <w:sz w:val="24"/>
          <w:szCs w:val="24"/>
        </w:rPr>
        <w:t xml:space="preserve">2018 Financial Highlights (RMB): </w:t>
      </w:r>
    </w:p>
    <w:p w14:paraId="42F80DDF" w14:textId="72A2BEAA" w:rsidR="00391F8B" w:rsidRPr="00657CAF" w:rsidRDefault="00391F8B" w:rsidP="00657CAF">
      <w:pPr>
        <w:pStyle w:val="af2"/>
        <w:numPr>
          <w:ilvl w:val="0"/>
          <w:numId w:val="3"/>
        </w:numPr>
        <w:spacing w:line="360" w:lineRule="exact"/>
        <w:jc w:val="both"/>
        <w:rPr>
          <w:rFonts w:eastAsia="彩虹粗仿宋"/>
          <w:sz w:val="24"/>
          <w:szCs w:val="24"/>
        </w:rPr>
      </w:pPr>
      <w:r w:rsidRPr="00657CAF">
        <w:rPr>
          <w:rFonts w:eastAsia="彩虹粗仿宋"/>
          <w:sz w:val="24"/>
          <w:szCs w:val="24"/>
        </w:rPr>
        <w:t xml:space="preserve">Total assets amounted to RMB23.22 trillion, representing an increase of 4.96% compared with 2017. </w:t>
      </w:r>
    </w:p>
    <w:p w14:paraId="4138EEA4" w14:textId="687976BE" w:rsidR="00391F8B" w:rsidRPr="00657CAF" w:rsidRDefault="00391F8B" w:rsidP="00657CAF">
      <w:pPr>
        <w:pStyle w:val="af2"/>
        <w:numPr>
          <w:ilvl w:val="0"/>
          <w:numId w:val="3"/>
        </w:numPr>
        <w:spacing w:line="360" w:lineRule="exact"/>
        <w:jc w:val="both"/>
        <w:rPr>
          <w:rFonts w:eastAsia="彩虹粗仿宋"/>
          <w:sz w:val="24"/>
          <w:szCs w:val="24"/>
        </w:rPr>
      </w:pPr>
      <w:r w:rsidRPr="00657CAF">
        <w:rPr>
          <w:rFonts w:eastAsia="彩虹粗仿宋"/>
          <w:sz w:val="24"/>
          <w:szCs w:val="24"/>
        </w:rPr>
        <w:t>Net profit reached RMB255.63 billion, representing an increase of 4.93% compared with the previous year, while net profit attributable to equity shareholders improved by 5.11% year-on-year to RMB254.66 billion. Net interest income reached RMB486.28 billion, an increase of 7.48%. Net interest margin (NIM) reached 2.31%, an increase of 10</w:t>
      </w:r>
      <w:r w:rsidR="00FC22E0" w:rsidRPr="00657CAF">
        <w:rPr>
          <w:rFonts w:eastAsia="彩虹粗仿宋"/>
          <w:sz w:val="24"/>
          <w:szCs w:val="24"/>
        </w:rPr>
        <w:t xml:space="preserve"> </w:t>
      </w:r>
      <w:r w:rsidRPr="00657CAF">
        <w:rPr>
          <w:rFonts w:eastAsia="彩虹粗仿宋"/>
          <w:sz w:val="24"/>
          <w:szCs w:val="24"/>
        </w:rPr>
        <w:t>b</w:t>
      </w:r>
      <w:r w:rsidR="00E206D0" w:rsidRPr="00657CAF">
        <w:rPr>
          <w:rFonts w:eastAsia="彩虹粗仿宋"/>
          <w:sz w:val="24"/>
          <w:szCs w:val="24"/>
        </w:rPr>
        <w:t>asis point</w:t>
      </w:r>
      <w:r w:rsidRPr="00657CAF">
        <w:rPr>
          <w:rFonts w:eastAsia="彩虹粗仿宋"/>
          <w:sz w:val="24"/>
          <w:szCs w:val="24"/>
        </w:rPr>
        <w:t>s.</w:t>
      </w:r>
    </w:p>
    <w:bookmarkEnd w:id="0"/>
    <w:p w14:paraId="4027E01F" w14:textId="16CD41F3" w:rsidR="00391F8B" w:rsidRPr="00657CAF" w:rsidRDefault="00391F8B" w:rsidP="00657CAF">
      <w:pPr>
        <w:pStyle w:val="af2"/>
        <w:numPr>
          <w:ilvl w:val="0"/>
          <w:numId w:val="3"/>
        </w:numPr>
        <w:spacing w:line="360" w:lineRule="exact"/>
        <w:jc w:val="both"/>
        <w:rPr>
          <w:rFonts w:eastAsia="彩虹粗仿宋"/>
          <w:sz w:val="24"/>
          <w:szCs w:val="24"/>
        </w:rPr>
      </w:pPr>
      <w:r w:rsidRPr="00657CAF">
        <w:rPr>
          <w:rFonts w:eastAsia="彩虹粗仿宋"/>
          <w:sz w:val="24"/>
          <w:szCs w:val="24"/>
        </w:rPr>
        <w:t>Return on average assets and return on average equity were 1.13% and 14.04%, respectively.</w:t>
      </w:r>
    </w:p>
    <w:p w14:paraId="54CDD73B" w14:textId="03EA955F" w:rsidR="00391F8B" w:rsidRPr="00657CAF" w:rsidRDefault="00391F8B" w:rsidP="00657CAF">
      <w:pPr>
        <w:pStyle w:val="af2"/>
        <w:numPr>
          <w:ilvl w:val="0"/>
          <w:numId w:val="3"/>
        </w:numPr>
        <w:spacing w:line="360" w:lineRule="exact"/>
        <w:jc w:val="both"/>
        <w:rPr>
          <w:rFonts w:eastAsia="彩虹粗仿宋"/>
          <w:sz w:val="24"/>
          <w:szCs w:val="24"/>
        </w:rPr>
      </w:pPr>
      <w:r w:rsidRPr="00657CAF">
        <w:rPr>
          <w:rFonts w:eastAsia="彩虹粗仿宋"/>
          <w:sz w:val="24"/>
          <w:szCs w:val="24"/>
        </w:rPr>
        <w:t xml:space="preserve">Capital adequacy ratio (CAR) was 17.19%; non-performing loan ratio was 1.46% </w:t>
      </w:r>
      <w:r w:rsidRPr="002622E4">
        <w:rPr>
          <w:rFonts w:eastAsia="彩虹粗仿宋"/>
          <w:sz w:val="24"/>
          <w:szCs w:val="24"/>
        </w:rPr>
        <w:t xml:space="preserve">and </w:t>
      </w:r>
      <w:r w:rsidR="002622E4" w:rsidRPr="002622E4">
        <w:rPr>
          <w:rFonts w:eastAsia="彩虹粗仿宋"/>
          <w:sz w:val="24"/>
          <w:szCs w:val="24"/>
        </w:rPr>
        <w:t xml:space="preserve">the allowances to non-performing loan (NPL) ratio </w:t>
      </w:r>
      <w:r w:rsidRPr="002622E4">
        <w:rPr>
          <w:rFonts w:eastAsia="彩虹粗仿宋"/>
          <w:sz w:val="24"/>
          <w:szCs w:val="24"/>
        </w:rPr>
        <w:t xml:space="preserve">was 208.37%. </w:t>
      </w:r>
    </w:p>
    <w:p w14:paraId="77C6E7B1" w14:textId="369C6277" w:rsidR="00391F8B" w:rsidRPr="00657CAF" w:rsidRDefault="00391F8B" w:rsidP="00657CAF">
      <w:pPr>
        <w:pStyle w:val="af2"/>
        <w:numPr>
          <w:ilvl w:val="0"/>
          <w:numId w:val="3"/>
        </w:numPr>
        <w:spacing w:line="360" w:lineRule="exact"/>
        <w:jc w:val="both"/>
        <w:rPr>
          <w:rFonts w:eastAsia="彩虹粗仿宋"/>
          <w:sz w:val="24"/>
          <w:szCs w:val="24"/>
        </w:rPr>
      </w:pPr>
      <w:r w:rsidRPr="00657CAF">
        <w:rPr>
          <w:rFonts w:eastAsia="彩虹粗仿宋"/>
          <w:sz w:val="24"/>
          <w:szCs w:val="24"/>
        </w:rPr>
        <w:t>Based on a strong business performance, the Board of Directors recommends a final cash dividend of RMB0.306 per share (tax included).</w:t>
      </w:r>
    </w:p>
    <w:p w14:paraId="24B37BC5" w14:textId="77777777" w:rsidR="00391F8B" w:rsidRPr="00470D30" w:rsidRDefault="00391F8B" w:rsidP="00FD4E72">
      <w:pPr>
        <w:spacing w:line="360" w:lineRule="exact"/>
        <w:ind w:firstLineChars="50" w:firstLine="120"/>
        <w:jc w:val="both"/>
        <w:rPr>
          <w:rFonts w:eastAsia="彩虹粗仿宋"/>
          <w:sz w:val="24"/>
          <w:szCs w:val="24"/>
        </w:rPr>
      </w:pPr>
    </w:p>
    <w:p w14:paraId="14A001D2" w14:textId="77777777" w:rsidR="00391F8B" w:rsidRPr="00470D30" w:rsidRDefault="00391F8B" w:rsidP="00FD4E72">
      <w:pPr>
        <w:spacing w:line="360" w:lineRule="exact"/>
        <w:jc w:val="both"/>
        <w:rPr>
          <w:rFonts w:eastAsia="彩虹粗仿宋"/>
          <w:sz w:val="24"/>
          <w:szCs w:val="24"/>
        </w:rPr>
      </w:pPr>
      <w:r w:rsidRPr="00470D30">
        <w:rPr>
          <w:rFonts w:eastAsia="彩虹粗仿宋"/>
          <w:sz w:val="24"/>
          <w:szCs w:val="24"/>
        </w:rPr>
        <w:t>27 March 2019, Beijing and Hong Kong, China - China Construction Bank Corporation (Shanghai stock code:601939, Hong Kong stock code:939; CCB or the “Bank”) today announced its operating results for 2018. As of the end of 2018, CCB’s total assets reached RMB23.22 trillion</w:t>
      </w:r>
      <w:r w:rsidRPr="002622E4">
        <w:rPr>
          <w:rFonts w:eastAsia="彩虹粗仿宋"/>
          <w:sz w:val="24"/>
          <w:szCs w:val="24"/>
        </w:rPr>
        <w:t xml:space="preserve">, a year-on-year increase of 4.96%, in which loans and advances </w:t>
      </w:r>
      <w:proofErr w:type="spellStart"/>
      <w:r w:rsidRPr="002622E4">
        <w:rPr>
          <w:rFonts w:eastAsia="彩虹粗仿宋"/>
          <w:sz w:val="24"/>
          <w:szCs w:val="24"/>
        </w:rPr>
        <w:t>totaled</w:t>
      </w:r>
      <w:proofErr w:type="spellEnd"/>
      <w:r w:rsidRPr="002622E4">
        <w:rPr>
          <w:rFonts w:eastAsia="彩虹粗仿宋"/>
          <w:sz w:val="24"/>
          <w:szCs w:val="24"/>
        </w:rPr>
        <w:t xml:space="preserve"> RMB13.78 trillion, an increase </w:t>
      </w:r>
      <w:r w:rsidRPr="00470D30">
        <w:rPr>
          <w:rFonts w:eastAsia="彩虹粗仿宋"/>
          <w:sz w:val="24"/>
          <w:szCs w:val="24"/>
        </w:rPr>
        <w:t xml:space="preserve">of 6.82% over 2017. The Group’s total liabilities reached RMB21.23 trillion, a year-on-year increase of 4.44%, including RMB17.11 trillion in deposits, up 4.55%. </w:t>
      </w:r>
    </w:p>
    <w:p w14:paraId="5972932E" w14:textId="77777777" w:rsidR="00391F8B" w:rsidRPr="00470D30" w:rsidRDefault="00391F8B" w:rsidP="00FD4E72">
      <w:pPr>
        <w:spacing w:line="360" w:lineRule="exact"/>
        <w:ind w:firstLineChars="200" w:firstLine="480"/>
        <w:jc w:val="both"/>
        <w:rPr>
          <w:rFonts w:eastAsia="彩虹粗仿宋"/>
          <w:sz w:val="24"/>
          <w:szCs w:val="24"/>
        </w:rPr>
      </w:pPr>
    </w:p>
    <w:p w14:paraId="1B8526E7" w14:textId="287A4626" w:rsidR="00391F8B" w:rsidRPr="00470D30" w:rsidRDefault="00391F8B" w:rsidP="00FD4E72">
      <w:pPr>
        <w:spacing w:line="360" w:lineRule="exact"/>
        <w:jc w:val="both"/>
        <w:rPr>
          <w:rFonts w:eastAsia="彩虹粗仿宋"/>
          <w:sz w:val="24"/>
          <w:szCs w:val="24"/>
        </w:rPr>
      </w:pPr>
      <w:r w:rsidRPr="00470D30">
        <w:rPr>
          <w:rFonts w:eastAsia="彩虹粗仿宋"/>
          <w:sz w:val="24"/>
          <w:szCs w:val="24"/>
        </w:rPr>
        <w:t>The Bank’s profit maintained solid growth; core indicators remain stable and balanced. The net profit reached RMB255.63 billion, a year-on-year growth of 4.93% or an increase of 0.1 percentage point in growth rate compared to 2017. Net interest income increased by 7.48% and the net interest margin was 2.31%, up 10 basis points year-on-year. Net fee and commission income grew by 4.45%. Return on average assets was 1.13%. Return on average equity was 14.04%. Cost to income ratio was 26.61%. Capital adequacy ratio was 17.19%.</w:t>
      </w:r>
    </w:p>
    <w:p w14:paraId="04C1A571" w14:textId="77777777" w:rsidR="009D2007" w:rsidRPr="00470D30" w:rsidRDefault="009D2007" w:rsidP="00FD4E72">
      <w:pPr>
        <w:spacing w:line="360" w:lineRule="exact"/>
        <w:ind w:firstLineChars="200" w:firstLine="480"/>
        <w:jc w:val="both"/>
        <w:rPr>
          <w:rFonts w:eastAsia="彩虹粗仿宋"/>
          <w:sz w:val="24"/>
          <w:szCs w:val="24"/>
        </w:rPr>
      </w:pPr>
    </w:p>
    <w:p w14:paraId="5E322191" w14:textId="75E1EE40" w:rsidR="00391F8B" w:rsidRPr="00470D30" w:rsidRDefault="00391F8B" w:rsidP="00FD4E72">
      <w:pPr>
        <w:spacing w:line="360" w:lineRule="exact"/>
        <w:jc w:val="both"/>
        <w:rPr>
          <w:rFonts w:eastAsia="彩虹粗仿宋"/>
          <w:b/>
          <w:sz w:val="24"/>
          <w:szCs w:val="24"/>
        </w:rPr>
      </w:pPr>
      <w:r w:rsidRPr="00470D30">
        <w:rPr>
          <w:rFonts w:eastAsia="彩虹粗仿宋"/>
          <w:sz w:val="24"/>
          <w:szCs w:val="24"/>
        </w:rPr>
        <w:t>In 2018, CCB continued to uphold its mission and responsibility as a big bank;  progressing with the times, developing with the country, prospering with all industries, bringing together all the know-how of its employees, unleashing the power of science and technology, focusing on serving the real economy, fully implementing the three major strategies of House Rental, Inclusive Finance and Fintech, supporting supply-side structural reforms, strengthening internal control risk management, and</w:t>
      </w:r>
      <w:r w:rsidRPr="00470D30">
        <w:rPr>
          <w:rFonts w:eastAsia="彩虹粗仿宋"/>
          <w:sz w:val="24"/>
          <w:szCs w:val="24"/>
          <w:lang w:val="en"/>
        </w:rPr>
        <w:t xml:space="preserve"> promoting </w:t>
      </w:r>
      <w:r w:rsidRPr="00470D30">
        <w:rPr>
          <w:rFonts w:eastAsia="彩虹粗仿宋"/>
          <w:sz w:val="24"/>
          <w:szCs w:val="24"/>
        </w:rPr>
        <w:t>the high-quality development of the Bank's business to obtain good economic and social benefits.</w:t>
      </w:r>
    </w:p>
    <w:p w14:paraId="443E939D" w14:textId="77777777" w:rsidR="00391F8B" w:rsidRPr="00470D30" w:rsidRDefault="00391F8B" w:rsidP="00FD4E72">
      <w:pPr>
        <w:spacing w:line="360" w:lineRule="exact"/>
        <w:ind w:firstLineChars="200" w:firstLine="482"/>
        <w:jc w:val="both"/>
        <w:rPr>
          <w:rFonts w:eastAsia="彩虹粗仿宋"/>
          <w:b/>
          <w:sz w:val="24"/>
          <w:szCs w:val="24"/>
        </w:rPr>
      </w:pPr>
    </w:p>
    <w:p w14:paraId="2FB1C301" w14:textId="77777777" w:rsidR="00391F8B" w:rsidRPr="00470D30" w:rsidRDefault="00391F8B" w:rsidP="00FD4E72">
      <w:pPr>
        <w:spacing w:line="360" w:lineRule="exact"/>
        <w:jc w:val="both"/>
        <w:rPr>
          <w:rFonts w:eastAsia="彩虹粗仿宋"/>
          <w:b/>
          <w:sz w:val="24"/>
          <w:szCs w:val="24"/>
        </w:rPr>
      </w:pPr>
      <w:r w:rsidRPr="00470D30">
        <w:rPr>
          <w:rFonts w:eastAsia="彩虹粗仿宋"/>
          <w:b/>
          <w:sz w:val="24"/>
          <w:szCs w:val="24"/>
        </w:rPr>
        <w:t xml:space="preserve">Achievements of Three Major Strategies Show New Drivers of Growth from Innovation and Development </w:t>
      </w:r>
    </w:p>
    <w:p w14:paraId="5192D674" w14:textId="77777777" w:rsidR="00391F8B" w:rsidRPr="00470D30" w:rsidRDefault="00391F8B" w:rsidP="00FD4E72">
      <w:pPr>
        <w:spacing w:line="360" w:lineRule="exact"/>
        <w:jc w:val="both"/>
        <w:rPr>
          <w:rFonts w:eastAsia="彩虹粗仿宋"/>
          <w:sz w:val="24"/>
          <w:szCs w:val="24"/>
        </w:rPr>
      </w:pPr>
      <w:r w:rsidRPr="00470D30">
        <w:rPr>
          <w:rFonts w:eastAsia="彩虹粗仿宋"/>
          <w:sz w:val="24"/>
          <w:szCs w:val="24"/>
        </w:rPr>
        <w:t>In 2018, CCB fully implemented the “three major strategies” of House Rental, Inclusive Finance and Fintech, focusing on the pain points of people's livelihood, empowering society with the power of finance, and realized new business development in the process of boosting economic and social development.</w:t>
      </w:r>
    </w:p>
    <w:p w14:paraId="0939F8DC" w14:textId="77777777" w:rsidR="00391F8B" w:rsidRPr="00470D30" w:rsidRDefault="00391F8B" w:rsidP="00FD4E72">
      <w:pPr>
        <w:spacing w:line="360" w:lineRule="exact"/>
        <w:ind w:firstLineChars="200" w:firstLine="480"/>
        <w:jc w:val="both"/>
        <w:rPr>
          <w:rFonts w:eastAsia="彩虹粗仿宋"/>
          <w:sz w:val="24"/>
          <w:szCs w:val="24"/>
        </w:rPr>
      </w:pPr>
    </w:p>
    <w:p w14:paraId="100CC5CC" w14:textId="13F49148" w:rsidR="00391F8B" w:rsidRPr="00470D30" w:rsidRDefault="00391F8B" w:rsidP="00FD4E72">
      <w:pPr>
        <w:spacing w:line="360" w:lineRule="exact"/>
        <w:jc w:val="both"/>
        <w:rPr>
          <w:rFonts w:eastAsia="彩虹粗仿宋"/>
          <w:sz w:val="24"/>
          <w:szCs w:val="24"/>
        </w:rPr>
      </w:pPr>
      <w:r w:rsidRPr="00470D30">
        <w:rPr>
          <w:rFonts w:eastAsia="彩虹粗仿宋"/>
          <w:sz w:val="24"/>
          <w:szCs w:val="24"/>
        </w:rPr>
        <w:t xml:space="preserve">CCB has advanced the house rental strategy in depth, activating the housing factor market by financial means and stabilizing the leasing relationship and price to promote the development of the house rental market. CCB established the first bank housing service company - </w:t>
      </w:r>
      <w:proofErr w:type="spellStart"/>
      <w:r w:rsidRPr="00470D30">
        <w:rPr>
          <w:rFonts w:eastAsia="彩虹粗仿宋"/>
          <w:sz w:val="24"/>
          <w:szCs w:val="24"/>
        </w:rPr>
        <w:t>Jianxin</w:t>
      </w:r>
      <w:proofErr w:type="spellEnd"/>
      <w:r w:rsidRPr="00470D30">
        <w:rPr>
          <w:rFonts w:eastAsia="彩虹粗仿宋"/>
          <w:sz w:val="24"/>
          <w:szCs w:val="24"/>
        </w:rPr>
        <w:t xml:space="preserve"> Housing Services Co., Ltd. It set up a housing rental service platform, on which the cumulative number of online listings and registered users has each exceeded 10 million. CCB has built a "Jian Rong Jia Yuan" long-term rental community to explore the new model of inventory housing business. It has also initiated a housing rental ecosystem and enhanced the scenario-based service functions and professional service, forming a nationwide rental service network.</w:t>
      </w:r>
    </w:p>
    <w:p w14:paraId="28763799" w14:textId="77777777" w:rsidR="009D2007" w:rsidRPr="00470D30" w:rsidRDefault="009D2007" w:rsidP="00FD4E72">
      <w:pPr>
        <w:spacing w:line="360" w:lineRule="exact"/>
        <w:ind w:firstLineChars="200" w:firstLine="480"/>
        <w:jc w:val="both"/>
        <w:rPr>
          <w:rFonts w:eastAsia="彩虹粗仿宋"/>
          <w:sz w:val="24"/>
          <w:szCs w:val="24"/>
        </w:rPr>
      </w:pPr>
    </w:p>
    <w:p w14:paraId="550CED96" w14:textId="31435CCA" w:rsidR="00391F8B" w:rsidRPr="00470D30" w:rsidRDefault="00391F8B" w:rsidP="00FD4E72">
      <w:pPr>
        <w:spacing w:line="360" w:lineRule="exact"/>
        <w:jc w:val="both"/>
        <w:rPr>
          <w:rFonts w:eastAsia="彩虹粗仿宋"/>
          <w:sz w:val="24"/>
          <w:szCs w:val="24"/>
        </w:rPr>
      </w:pPr>
      <w:r w:rsidRPr="00470D30">
        <w:rPr>
          <w:rFonts w:eastAsia="彩虹粗仿宋"/>
          <w:sz w:val="24"/>
          <w:szCs w:val="24"/>
        </w:rPr>
        <w:t xml:space="preserve">CCB has comprehensively launched the inclusive finance strategy, integrating modern technology, and exploring a new model of inclusive finance featuring “mass customer acquisition, accurate profiling, automated approval, intelligent risk control, and integrated services”. CCB is leading the industry in terms of outstanding loans and incremental loan growth, promoting new online financing models such as online supply chain, reaching SME clients in small industries through large corporate clients in big industries, and introducing 26 targeted measures to support the private economy and small and micro enterprises. CCB is also committed to creating the “quick loan” product series and the platform-based business model. A total of more </w:t>
      </w:r>
      <w:r w:rsidRPr="00470D30">
        <w:rPr>
          <w:rFonts w:eastAsia="彩虹粗仿宋"/>
          <w:sz w:val="24"/>
          <w:szCs w:val="24"/>
        </w:rPr>
        <w:lastRenderedPageBreak/>
        <w:t>than RMB710 billion worth of loans were made, benefitting 550,000 small and micro enterprises. CCB has explored new ways to deepen rural finance, introducing new forms of financial support, including “agricultural quick loan”. Relying on “Shan Rong” e-commerce website, CCB has built a new channel for poverty alleviation, launched "Min Gong Hui", a new platform of exclusive services for migrant workers, and built a one-stop service platform "Hui Dong Ni", so as to expand the coverage of inclusive finance and take a leading position in the industry. At the end of 2018, the Bank's balance of inclusive finance loans was RMB631.0</w:t>
      </w:r>
      <w:r w:rsidR="00E206D0">
        <w:rPr>
          <w:rFonts w:eastAsia="彩虹粗仿宋"/>
          <w:sz w:val="24"/>
          <w:szCs w:val="24"/>
        </w:rPr>
        <w:t>2</w:t>
      </w:r>
      <w:r w:rsidRPr="00470D30">
        <w:rPr>
          <w:rFonts w:eastAsia="彩虹粗仿宋"/>
          <w:sz w:val="24"/>
          <w:szCs w:val="24"/>
        </w:rPr>
        <w:t xml:space="preserve"> billion, representing an increase of RMB21</w:t>
      </w:r>
      <w:r w:rsidR="00FC22E0">
        <w:rPr>
          <w:rFonts w:eastAsia="彩虹粗仿宋"/>
          <w:sz w:val="24"/>
          <w:szCs w:val="24"/>
        </w:rPr>
        <w:t>2</w:t>
      </w:r>
      <w:r w:rsidRPr="00470D30">
        <w:rPr>
          <w:rFonts w:eastAsia="彩虹粗仿宋"/>
          <w:sz w:val="24"/>
          <w:szCs w:val="24"/>
        </w:rPr>
        <w:t>.5</w:t>
      </w:r>
      <w:r w:rsidR="00E206D0">
        <w:rPr>
          <w:rFonts w:eastAsia="彩虹粗仿宋"/>
          <w:sz w:val="24"/>
          <w:szCs w:val="24"/>
        </w:rPr>
        <w:t>2</w:t>
      </w:r>
      <w:r w:rsidRPr="00470D30">
        <w:rPr>
          <w:rFonts w:eastAsia="彩虹粗仿宋"/>
          <w:sz w:val="24"/>
          <w:szCs w:val="24"/>
        </w:rPr>
        <w:t xml:space="preserve"> billion or 50.78% over the previous year, with the balance and new inclusive finance loans ranking number one in the industry.</w:t>
      </w:r>
    </w:p>
    <w:p w14:paraId="56892F27" w14:textId="77777777" w:rsidR="009D2007" w:rsidRPr="00470D30" w:rsidRDefault="009D2007" w:rsidP="00FD4E72">
      <w:pPr>
        <w:spacing w:line="360" w:lineRule="exact"/>
        <w:ind w:firstLineChars="250" w:firstLine="600"/>
        <w:jc w:val="both"/>
        <w:rPr>
          <w:rFonts w:eastAsia="彩虹粗仿宋"/>
          <w:sz w:val="24"/>
          <w:szCs w:val="24"/>
        </w:rPr>
      </w:pPr>
    </w:p>
    <w:p w14:paraId="6C038275" w14:textId="3ADC8132" w:rsidR="00391F8B" w:rsidRPr="00470D30" w:rsidRDefault="00391F8B" w:rsidP="00FD4E72">
      <w:pPr>
        <w:spacing w:line="360" w:lineRule="exact"/>
        <w:jc w:val="both"/>
        <w:rPr>
          <w:rFonts w:eastAsia="彩虹粗仿宋"/>
          <w:sz w:val="24"/>
          <w:szCs w:val="24"/>
        </w:rPr>
      </w:pPr>
      <w:bookmarkStart w:id="2" w:name="OLE_LINK4"/>
      <w:r w:rsidRPr="00470D30">
        <w:rPr>
          <w:rFonts w:eastAsia="彩虹粗仿宋"/>
          <w:sz w:val="24"/>
          <w:szCs w:val="24"/>
        </w:rPr>
        <w:t xml:space="preserve">CCB has focused on implementing the fintech strategy, launching a new round of fintech "TOP+" strategy, establishing CCB Fintech Corporation, integrating and establishing seven key business groups. CCB is using big data, blockchain, artificial intelligence to empower product innovation, customer service and risk management, and extending the new generation of core systems to overseas institutions and subsidiaries to realize the Group’s information technology capabilities. CCB has built 17 platforms including public cloud service and smart government administration to provide customized technical support services for customers, financial institutions and government departments. CCB has continued to explore market-oriented talent development and incentive mechanisms, working with professional institutions to establish an open platform to build an ecosystem of cutting edge technology, financial scenarios and innovative business models, so as to enhance the ability to absorb, transform and apply modern technology. </w:t>
      </w:r>
    </w:p>
    <w:bookmarkEnd w:id="2"/>
    <w:p w14:paraId="5DB0C314" w14:textId="77777777" w:rsidR="00391F8B" w:rsidRPr="00470D30" w:rsidRDefault="00391F8B" w:rsidP="00FD4E72">
      <w:pPr>
        <w:spacing w:line="360" w:lineRule="exact"/>
        <w:ind w:firstLineChars="200" w:firstLine="482"/>
        <w:jc w:val="both"/>
        <w:rPr>
          <w:rFonts w:eastAsia="彩虹粗仿宋"/>
          <w:b/>
          <w:sz w:val="24"/>
          <w:szCs w:val="24"/>
        </w:rPr>
      </w:pPr>
    </w:p>
    <w:p w14:paraId="6138CAC7" w14:textId="77777777" w:rsidR="00391F8B" w:rsidRPr="00470D30" w:rsidRDefault="00391F8B" w:rsidP="00FD4E72">
      <w:pPr>
        <w:spacing w:line="360" w:lineRule="exact"/>
        <w:jc w:val="both"/>
        <w:rPr>
          <w:rFonts w:eastAsia="彩虹粗仿宋"/>
          <w:b/>
          <w:sz w:val="24"/>
          <w:szCs w:val="24"/>
        </w:rPr>
      </w:pPr>
      <w:r w:rsidRPr="00470D30">
        <w:rPr>
          <w:rFonts w:eastAsia="彩虹粗仿宋"/>
          <w:b/>
          <w:sz w:val="24"/>
          <w:szCs w:val="24"/>
        </w:rPr>
        <w:t>Precise and Effective Support of the Real Economy; Facilitating Supply-side Structural Reforms</w:t>
      </w:r>
    </w:p>
    <w:p w14:paraId="5AC81F70" w14:textId="77777777" w:rsidR="00391F8B" w:rsidRPr="00470D30" w:rsidRDefault="00391F8B" w:rsidP="00FD4E72">
      <w:pPr>
        <w:spacing w:line="360" w:lineRule="exact"/>
        <w:jc w:val="both"/>
        <w:rPr>
          <w:rFonts w:eastAsia="彩虹粗仿宋"/>
          <w:sz w:val="24"/>
          <w:szCs w:val="24"/>
        </w:rPr>
      </w:pPr>
      <w:r w:rsidRPr="00470D30">
        <w:rPr>
          <w:rFonts w:eastAsia="彩虹粗仿宋"/>
          <w:sz w:val="24"/>
          <w:szCs w:val="24"/>
        </w:rPr>
        <w:t xml:space="preserve">CCB is committed to serving the real economy and making it the top priority of its business operations. It is closely-linked to and proactively supported major national strategic programmes, including “Belt and Road”, Beijing-Tianjin-Hebei Collaboration, the Yangtze River Economic Belt, the Guangdong, Hong Kong, Macao Greater Bay Area and free trade zones. CCB provided the first commercial bank loan for the </w:t>
      </w:r>
      <w:proofErr w:type="spellStart"/>
      <w:r w:rsidRPr="00470D30">
        <w:rPr>
          <w:rFonts w:eastAsia="彩虹粗仿宋"/>
          <w:sz w:val="24"/>
          <w:szCs w:val="24"/>
        </w:rPr>
        <w:t>Xiong'an</w:t>
      </w:r>
      <w:proofErr w:type="spellEnd"/>
      <w:r w:rsidRPr="00470D30">
        <w:rPr>
          <w:rFonts w:eastAsia="彩虹粗仿宋"/>
          <w:sz w:val="24"/>
          <w:szCs w:val="24"/>
        </w:rPr>
        <w:t xml:space="preserve"> New District construction project. The Bank launched the “Shan Xing Chen Jian” financial brand to support the construction of urban infrastructure such as smart city and eco-environment protection. At the end of 2018, the Bank’s loan balance for the infrastructure industry sector was RMB3.46 trillion, an increase of 3.04%, maintaining its leading position in the industry.</w:t>
      </w:r>
    </w:p>
    <w:p w14:paraId="4A6B0226" w14:textId="77777777" w:rsidR="00391F8B" w:rsidRPr="00470D30" w:rsidRDefault="00391F8B" w:rsidP="00FD4E72">
      <w:pPr>
        <w:spacing w:line="360" w:lineRule="exact"/>
        <w:ind w:firstLineChars="200" w:firstLine="480"/>
        <w:jc w:val="both"/>
        <w:rPr>
          <w:rFonts w:eastAsia="彩虹粗仿宋"/>
          <w:sz w:val="24"/>
          <w:szCs w:val="24"/>
        </w:rPr>
      </w:pPr>
    </w:p>
    <w:p w14:paraId="063E4C51" w14:textId="77777777" w:rsidR="00391F8B" w:rsidRPr="00470D30" w:rsidRDefault="00391F8B" w:rsidP="00FD4E72">
      <w:pPr>
        <w:spacing w:line="360" w:lineRule="exact"/>
        <w:jc w:val="both"/>
        <w:rPr>
          <w:rFonts w:eastAsia="彩虹粗仿宋"/>
          <w:sz w:val="24"/>
          <w:szCs w:val="24"/>
        </w:rPr>
      </w:pPr>
      <w:r w:rsidRPr="00470D30">
        <w:rPr>
          <w:rFonts w:eastAsia="彩虹粗仿宋"/>
          <w:sz w:val="24"/>
          <w:szCs w:val="24"/>
        </w:rPr>
        <w:t xml:space="preserve">CCB thoroughly implemented supply-side structural reform, and steadily promoted market-oriented and law-based debt-for-equity swaps, with a total contract amount of RMB723.3 billion, with a total realized amount of RMB153.4 billion, leading the industry. CCB is actively following up on the transformation and upgrading of the economy, actively adjusting the credit structure and re-evaluating the credit policy. It implemented the national strategy of ecological civilization construction and environmental protection, with the green credit balance reaching RMB1.04 trillion. Together with the National Development and Reform Commission, CCB initiated a fund to boost the national strategic emerging industry development. CCB’s balance of strategic emerging industry loans reached nearly RMB400 billion and the credit balance of overcapacity industries continued to decline. It also successfully completed the first green and sustainable development bond issuance. The Bank uses diversified investment and financing means such as bonds, funds, mergers and acquisitions, asset securitization, investment and loan linkages, to support the development of new technologies, new forms of organization and new industrial clusters. </w:t>
      </w:r>
    </w:p>
    <w:p w14:paraId="1F02711B" w14:textId="77777777" w:rsidR="00391F8B" w:rsidRPr="00470D30" w:rsidRDefault="00391F8B" w:rsidP="00FD4E72">
      <w:pPr>
        <w:spacing w:line="360" w:lineRule="exact"/>
        <w:ind w:firstLineChars="200" w:firstLine="480"/>
        <w:jc w:val="both"/>
        <w:rPr>
          <w:rFonts w:eastAsia="彩虹粗仿宋"/>
          <w:sz w:val="24"/>
          <w:szCs w:val="24"/>
        </w:rPr>
      </w:pPr>
    </w:p>
    <w:p w14:paraId="3BB9DCB2" w14:textId="5EC86710" w:rsidR="00391F8B" w:rsidRPr="00470D30" w:rsidRDefault="00391F8B" w:rsidP="00FD4E72">
      <w:pPr>
        <w:spacing w:line="360" w:lineRule="exact"/>
        <w:jc w:val="both"/>
        <w:rPr>
          <w:rFonts w:eastAsia="彩虹粗仿宋"/>
          <w:sz w:val="24"/>
          <w:szCs w:val="24"/>
        </w:rPr>
      </w:pPr>
      <w:r w:rsidRPr="00470D30">
        <w:rPr>
          <w:rFonts w:eastAsia="彩虹粗仿宋"/>
          <w:sz w:val="24"/>
          <w:szCs w:val="24"/>
        </w:rPr>
        <w:t>CCB has accelerated the development of its new retail business to meet the needs of consumers’ consumption upgrades. CCB is expanding convenient and easy-to-use financial products such as “quick loans” in line with consumption patterns. The balance of personal self-service loans through electronic channels reached RMB18</w:t>
      </w:r>
      <w:r w:rsidR="00E206D0">
        <w:rPr>
          <w:rFonts w:eastAsia="彩虹粗仿宋"/>
          <w:sz w:val="24"/>
          <w:szCs w:val="24"/>
        </w:rPr>
        <w:t>9</w:t>
      </w:r>
      <w:r w:rsidRPr="00470D30">
        <w:rPr>
          <w:rFonts w:eastAsia="彩虹粗仿宋"/>
          <w:sz w:val="24"/>
          <w:szCs w:val="24"/>
        </w:rPr>
        <w:t xml:space="preserve">.93 billion. CCB created the “Long Pay” enterprise-level digital payment brand, with a total of 85.02 million customers, and transaction volume of 316 million. With a new model of "Wealth Management + Ecosystem" intelligent empowerment, CCB launched the personal wealth management and service platform "Long Wealth” for the public. CCB has continuously optimized the credit card business management structure, developed </w:t>
      </w:r>
      <w:r w:rsidRPr="00FC22E0">
        <w:rPr>
          <w:rFonts w:eastAsia="彩虹粗仿宋"/>
          <w:sz w:val="24"/>
          <w:szCs w:val="24"/>
        </w:rPr>
        <w:t>market segments, and expanded services to benefit the public. As of 2018, a total of 121.4</w:t>
      </w:r>
      <w:r w:rsidR="002622E4">
        <w:rPr>
          <w:rFonts w:eastAsia="彩虹粗仿宋"/>
          <w:sz w:val="24"/>
          <w:szCs w:val="24"/>
        </w:rPr>
        <w:t>0</w:t>
      </w:r>
      <w:r w:rsidRPr="00FC22E0">
        <w:rPr>
          <w:rFonts w:eastAsia="彩虹粗仿宋"/>
          <w:sz w:val="24"/>
          <w:szCs w:val="24"/>
        </w:rPr>
        <w:t xml:space="preserve"> million credit cards were issued, with the annual transactions amounting to RMB2</w:t>
      </w:r>
      <w:r w:rsidR="00FC22E0">
        <w:rPr>
          <w:rFonts w:eastAsia="彩虹粗仿宋"/>
          <w:sz w:val="24"/>
          <w:szCs w:val="24"/>
        </w:rPr>
        <w:t>,</w:t>
      </w:r>
      <w:r w:rsidRPr="00FC22E0">
        <w:rPr>
          <w:rFonts w:eastAsia="彩虹粗仿宋"/>
          <w:sz w:val="24"/>
          <w:szCs w:val="24"/>
        </w:rPr>
        <w:t>99</w:t>
      </w:r>
      <w:r w:rsidR="00E206D0" w:rsidRPr="00FC22E0">
        <w:rPr>
          <w:rFonts w:eastAsia="彩虹粗仿宋"/>
          <w:sz w:val="24"/>
          <w:szCs w:val="24"/>
        </w:rPr>
        <w:t>2</w:t>
      </w:r>
      <w:r w:rsidRPr="00FC22E0">
        <w:rPr>
          <w:rFonts w:eastAsia="彩虹粗仿宋"/>
          <w:sz w:val="24"/>
          <w:szCs w:val="24"/>
        </w:rPr>
        <w:t>.7</w:t>
      </w:r>
      <w:r w:rsidR="00E206D0" w:rsidRPr="00FC22E0">
        <w:rPr>
          <w:rFonts w:eastAsia="彩虹粗仿宋"/>
          <w:sz w:val="24"/>
          <w:szCs w:val="24"/>
        </w:rPr>
        <w:t>4</w:t>
      </w:r>
      <w:r w:rsidRPr="00FC22E0">
        <w:rPr>
          <w:rFonts w:eastAsia="彩虹粗仿宋"/>
          <w:sz w:val="24"/>
          <w:szCs w:val="24"/>
        </w:rPr>
        <w:t xml:space="preserve"> billion.</w:t>
      </w:r>
      <w:r w:rsidRPr="00470D30">
        <w:rPr>
          <w:rFonts w:eastAsia="彩虹粗仿宋"/>
          <w:sz w:val="24"/>
          <w:szCs w:val="24"/>
        </w:rPr>
        <w:t xml:space="preserve"> Core indicators including total customer volume, loan balance and asset quality continued to lead the industry. Personal mobile banking users exceeded 300 million; the number of users adding CCB account as their WeChat payment method reached 89 million, and the intelligent “small micro” answers questions from WeChat users more than 1 million times a day.</w:t>
      </w:r>
    </w:p>
    <w:p w14:paraId="645461DE" w14:textId="77777777" w:rsidR="00391F8B" w:rsidRPr="00470D30" w:rsidRDefault="00391F8B" w:rsidP="00FD4E72">
      <w:pPr>
        <w:spacing w:line="360" w:lineRule="exact"/>
        <w:ind w:firstLineChars="200" w:firstLine="482"/>
        <w:jc w:val="both"/>
        <w:rPr>
          <w:rFonts w:eastAsia="彩虹粗仿宋"/>
          <w:b/>
          <w:sz w:val="24"/>
          <w:szCs w:val="24"/>
        </w:rPr>
      </w:pPr>
    </w:p>
    <w:p w14:paraId="143B6D40" w14:textId="77777777" w:rsidR="00391F8B" w:rsidRPr="00470D30" w:rsidRDefault="00391F8B" w:rsidP="00FD4E72">
      <w:pPr>
        <w:spacing w:line="360" w:lineRule="exact"/>
        <w:jc w:val="both"/>
        <w:rPr>
          <w:rFonts w:eastAsia="彩虹粗仿宋"/>
          <w:b/>
          <w:sz w:val="24"/>
          <w:szCs w:val="24"/>
        </w:rPr>
      </w:pPr>
      <w:r w:rsidRPr="00470D30">
        <w:rPr>
          <w:rFonts w:eastAsia="彩虹粗仿宋"/>
          <w:b/>
          <w:sz w:val="24"/>
          <w:szCs w:val="24"/>
        </w:rPr>
        <w:t xml:space="preserve">Steady Development on a Solid Foundation; Comprehensive Enhancement of Risk Management </w:t>
      </w:r>
    </w:p>
    <w:p w14:paraId="46DADD6F" w14:textId="1C757453" w:rsidR="00391F8B" w:rsidRPr="00470D30" w:rsidRDefault="00391F8B" w:rsidP="00FD4E72">
      <w:pPr>
        <w:spacing w:line="360" w:lineRule="exact"/>
        <w:jc w:val="both"/>
        <w:rPr>
          <w:rFonts w:eastAsia="彩虹粗仿宋"/>
          <w:sz w:val="24"/>
          <w:szCs w:val="24"/>
        </w:rPr>
      </w:pPr>
      <w:r w:rsidRPr="00470D30">
        <w:rPr>
          <w:rFonts w:eastAsia="彩虹粗仿宋"/>
          <w:sz w:val="24"/>
          <w:szCs w:val="24"/>
        </w:rPr>
        <w:lastRenderedPageBreak/>
        <w:t xml:space="preserve">With the help of the “new generation” system and big data, CCB has continued to deepen its understanding of the evolution of financial risk migration in the new situation, building a modern bank risk control system based on comprehensive and active management. CCB built an enterprise-level, digital comprehensive risk monitoring and early warning platform, set up the first risk measurement centre in China, as well as enriched and developed risk management technology system and toolkit to improve the digital intelligence level of risk control with modern technology. The Bank also promoted post-lending specialization and intensive management of collateral to improve the efficiency of risk disposal. At the end of 2018, the bank's non-performing loan balance </w:t>
      </w:r>
      <w:r w:rsidRPr="00FC22E0">
        <w:rPr>
          <w:rFonts w:eastAsia="彩虹粗仿宋"/>
          <w:sz w:val="24"/>
          <w:szCs w:val="24"/>
        </w:rPr>
        <w:t>was RMB20</w:t>
      </w:r>
      <w:r w:rsidR="00FC22E0" w:rsidRPr="00FC22E0">
        <w:rPr>
          <w:rFonts w:eastAsia="彩虹粗仿宋"/>
          <w:sz w:val="24"/>
          <w:szCs w:val="24"/>
        </w:rPr>
        <w:t>0.</w:t>
      </w:r>
      <w:r w:rsidRPr="00FC22E0">
        <w:rPr>
          <w:rFonts w:eastAsia="彩虹粗仿宋"/>
          <w:sz w:val="24"/>
          <w:szCs w:val="24"/>
        </w:rPr>
        <w:t>88 billion</w:t>
      </w:r>
      <w:r w:rsidRPr="00470D30">
        <w:rPr>
          <w:rFonts w:eastAsia="彩虹粗仿宋"/>
          <w:sz w:val="24"/>
          <w:szCs w:val="24"/>
        </w:rPr>
        <w:t xml:space="preserve">, and the non-performing loan ratio was 1.46%, a decrease of 0.03 percentage point from the previous year. The </w:t>
      </w:r>
      <w:r w:rsidR="002622E4">
        <w:rPr>
          <w:rFonts w:eastAsia="彩虹粗仿宋"/>
          <w:sz w:val="24"/>
          <w:szCs w:val="24"/>
        </w:rPr>
        <w:t>a</w:t>
      </w:r>
      <w:r w:rsidR="002622E4" w:rsidRPr="002622E4">
        <w:rPr>
          <w:rFonts w:eastAsia="彩虹粗仿宋"/>
          <w:sz w:val="24"/>
          <w:szCs w:val="24"/>
        </w:rPr>
        <w:t xml:space="preserve">llowances to NPLs </w:t>
      </w:r>
      <w:r w:rsidRPr="00470D30">
        <w:rPr>
          <w:rFonts w:eastAsia="彩虹粗仿宋"/>
          <w:sz w:val="24"/>
          <w:szCs w:val="24"/>
        </w:rPr>
        <w:t>was 208.37%, an increase of 37.29 percentage points over the previous year.</w:t>
      </w:r>
    </w:p>
    <w:p w14:paraId="556DB31B" w14:textId="77777777" w:rsidR="00391F8B" w:rsidRPr="00470D30" w:rsidRDefault="00391F8B" w:rsidP="00FD4E72">
      <w:pPr>
        <w:spacing w:line="360" w:lineRule="exact"/>
        <w:ind w:firstLineChars="200" w:firstLine="480"/>
        <w:jc w:val="both"/>
        <w:rPr>
          <w:rFonts w:eastAsia="彩虹粗仿宋"/>
          <w:sz w:val="24"/>
          <w:szCs w:val="24"/>
        </w:rPr>
      </w:pPr>
    </w:p>
    <w:p w14:paraId="6C7CED18" w14:textId="0D6DD021" w:rsidR="00391F8B" w:rsidRPr="00470D30" w:rsidRDefault="00391F8B" w:rsidP="00FD4E72">
      <w:pPr>
        <w:spacing w:line="360" w:lineRule="exact"/>
        <w:jc w:val="both"/>
        <w:rPr>
          <w:rFonts w:eastAsia="彩虹粗仿宋"/>
          <w:sz w:val="24"/>
          <w:szCs w:val="24"/>
        </w:rPr>
      </w:pPr>
      <w:r w:rsidRPr="00470D30">
        <w:rPr>
          <w:rFonts w:eastAsia="彩虹粗仿宋"/>
          <w:sz w:val="24"/>
          <w:szCs w:val="24"/>
        </w:rPr>
        <w:t xml:space="preserve">CCB has strengthened market risk prevent and direct business management, and steadily responded to fluctuations in the </w:t>
      </w:r>
      <w:r w:rsidRPr="00470D30">
        <w:rPr>
          <w:rFonts w:eastAsia="彩虹粗仿宋"/>
          <w:sz w:val="24"/>
          <w:szCs w:val="24"/>
          <w:lang w:val="en"/>
        </w:rPr>
        <w:t xml:space="preserve">foreign exchange, bond and stock markets to avoid cross-contagion of risks. </w:t>
      </w:r>
      <w:r w:rsidRPr="00470D30">
        <w:rPr>
          <w:rFonts w:eastAsia="彩虹粗仿宋"/>
          <w:sz w:val="24"/>
          <w:szCs w:val="24"/>
        </w:rPr>
        <w:t xml:space="preserve">CCB has adhered to the principle of prudent liquidity risk management, and anticipated changes in the domestic and external capital situation and form in a forward-looking approach. The Bank played the role of market stabilizer for big banks while ensuring payment settlement security. CCB has strengthened statistics on violations losses and post management, promoting the application of management tools to improve internal operational risk management. CCB continued to improve the reputation risk management system and mechanism. It also focused on </w:t>
      </w:r>
      <w:r w:rsidRPr="00470D30">
        <w:rPr>
          <w:rFonts w:eastAsia="彩虹粗仿宋"/>
          <w:sz w:val="24"/>
          <w:szCs w:val="24"/>
          <w:lang w:val="en"/>
        </w:rPr>
        <w:t xml:space="preserve">strengthening the subject and post responsibility of compliance management. </w:t>
      </w:r>
      <w:r w:rsidRPr="00470D30">
        <w:rPr>
          <w:rFonts w:eastAsia="彩虹粗仿宋"/>
          <w:sz w:val="24"/>
          <w:szCs w:val="24"/>
        </w:rPr>
        <w:t xml:space="preserve">The Bank has strictly </w:t>
      </w:r>
      <w:r w:rsidRPr="00470D30">
        <w:rPr>
          <w:rFonts w:eastAsia="彩虹粗仿宋"/>
          <w:sz w:val="24"/>
          <w:szCs w:val="24"/>
          <w:lang w:val="en"/>
        </w:rPr>
        <w:t>implemented anti-money laundering, anti-terrorism financing, anti-tax evasion and other relevant regulatory requirements, and established a three-dimensional management mechanism. Audit roles and abilities continue to grow, creating a strong third line of defense.</w:t>
      </w:r>
    </w:p>
    <w:p w14:paraId="0FA0AD34" w14:textId="77777777" w:rsidR="00391F8B" w:rsidRPr="00470D30" w:rsidRDefault="00391F8B" w:rsidP="00FD4E72">
      <w:pPr>
        <w:spacing w:line="360" w:lineRule="exact"/>
        <w:ind w:firstLineChars="200" w:firstLine="482"/>
        <w:jc w:val="both"/>
        <w:rPr>
          <w:rFonts w:eastAsia="彩虹粗仿宋"/>
          <w:b/>
          <w:sz w:val="24"/>
          <w:szCs w:val="24"/>
        </w:rPr>
      </w:pPr>
    </w:p>
    <w:p w14:paraId="2221648E" w14:textId="77777777" w:rsidR="00391F8B" w:rsidRPr="00470D30" w:rsidRDefault="00391F8B" w:rsidP="00FD4E72">
      <w:pPr>
        <w:spacing w:line="360" w:lineRule="exact"/>
        <w:jc w:val="both"/>
        <w:rPr>
          <w:rFonts w:eastAsia="彩虹粗仿宋"/>
          <w:sz w:val="24"/>
          <w:szCs w:val="24"/>
        </w:rPr>
      </w:pPr>
      <w:r w:rsidRPr="00470D30">
        <w:rPr>
          <w:rFonts w:eastAsia="彩虹粗仿宋"/>
          <w:b/>
          <w:sz w:val="24"/>
          <w:szCs w:val="24"/>
        </w:rPr>
        <w:t xml:space="preserve">Openness, Sharing and Giving Back to Society; Fully Fulfil a Big Bank’s Social Responsibility </w:t>
      </w:r>
    </w:p>
    <w:p w14:paraId="761B6C0E" w14:textId="77777777" w:rsidR="00391F8B" w:rsidRPr="00470D30" w:rsidRDefault="00391F8B" w:rsidP="00FD4E72">
      <w:pPr>
        <w:spacing w:line="360" w:lineRule="exact"/>
        <w:jc w:val="both"/>
        <w:rPr>
          <w:rFonts w:eastAsia="彩虹粗仿宋"/>
          <w:sz w:val="24"/>
          <w:szCs w:val="24"/>
        </w:rPr>
      </w:pPr>
      <w:r w:rsidRPr="00470D30">
        <w:rPr>
          <w:rFonts w:eastAsia="彩虹粗仿宋"/>
          <w:sz w:val="24"/>
          <w:szCs w:val="24"/>
        </w:rPr>
        <w:t xml:space="preserve">Adhering to the new concept of openness and sharing, CCB has built a total of 14,300 “caring stations” in its branches, sharing CCB’s resources. These provide convenient places and considerate services for labourers such as express deliverers, sanitation workers and taxi drivers. About 30 million people have benefited from the services. CCB has set up the CCB University, integrating various training resources, cooperating with well-known universities at home and abroad. It has also launched </w:t>
      </w:r>
      <w:r w:rsidRPr="00470D30">
        <w:rPr>
          <w:rFonts w:eastAsia="彩虹粗仿宋"/>
          <w:sz w:val="24"/>
          <w:szCs w:val="24"/>
        </w:rPr>
        <w:lastRenderedPageBreak/>
        <w:t xml:space="preserve">the “Industry and Education Integration Alliance for New Financial Talents”, building an open platform for education and training. The implementation of the "Jin </w:t>
      </w:r>
      <w:proofErr w:type="spellStart"/>
      <w:r w:rsidRPr="00470D30">
        <w:rPr>
          <w:rFonts w:eastAsia="彩虹粗仿宋"/>
          <w:sz w:val="24"/>
          <w:szCs w:val="24"/>
        </w:rPr>
        <w:t>Zhi</w:t>
      </w:r>
      <w:proofErr w:type="spellEnd"/>
      <w:r w:rsidRPr="00470D30">
        <w:rPr>
          <w:rFonts w:eastAsia="彩虹粗仿宋"/>
          <w:sz w:val="24"/>
          <w:szCs w:val="24"/>
        </w:rPr>
        <w:t xml:space="preserve"> </w:t>
      </w:r>
      <w:proofErr w:type="spellStart"/>
      <w:r w:rsidRPr="00470D30">
        <w:rPr>
          <w:rFonts w:eastAsia="彩虹粗仿宋"/>
          <w:sz w:val="24"/>
          <w:szCs w:val="24"/>
        </w:rPr>
        <w:t>Hui</w:t>
      </w:r>
      <w:proofErr w:type="spellEnd"/>
      <w:r w:rsidRPr="00470D30">
        <w:rPr>
          <w:rFonts w:eastAsia="彩虹粗仿宋"/>
          <w:sz w:val="24"/>
          <w:szCs w:val="24"/>
        </w:rPr>
        <w:t xml:space="preserve"> Min" project has spread the modern financial concept to the public and explored a good way of financial vocational education in the new era with the innovative practice of integrating industry, education, research and application. </w:t>
      </w:r>
    </w:p>
    <w:p w14:paraId="150D5870" w14:textId="77777777" w:rsidR="00391F8B" w:rsidRPr="00470D30" w:rsidRDefault="00391F8B" w:rsidP="00FD4E72">
      <w:pPr>
        <w:spacing w:line="360" w:lineRule="exact"/>
        <w:ind w:firstLineChars="200" w:firstLine="480"/>
        <w:jc w:val="both"/>
        <w:rPr>
          <w:rFonts w:eastAsia="彩虹粗仿宋"/>
          <w:sz w:val="24"/>
          <w:szCs w:val="24"/>
        </w:rPr>
      </w:pPr>
    </w:p>
    <w:p w14:paraId="3C068433" w14:textId="48D62DE2" w:rsidR="00391F8B" w:rsidRPr="00470D30" w:rsidRDefault="00391F8B" w:rsidP="00FD4E72">
      <w:pPr>
        <w:spacing w:line="360" w:lineRule="exact"/>
        <w:jc w:val="both"/>
        <w:rPr>
          <w:rFonts w:eastAsia="彩虹粗仿宋"/>
          <w:sz w:val="24"/>
          <w:szCs w:val="24"/>
        </w:rPr>
      </w:pPr>
      <w:r w:rsidRPr="00470D30">
        <w:rPr>
          <w:rFonts w:eastAsia="彩虹粗仿宋"/>
          <w:sz w:val="24"/>
          <w:szCs w:val="24"/>
        </w:rPr>
        <w:t>CCB made solid progress in the work related to agriculture, rural areas and farmers, and poverty alleviation to support rural revitalization. In 2018, the balance of industrial targeted poverty alleviation loans was RMB63.04 billion, an increase of more than 30%. CCB strengthened the deep integration of financial technology and three rural services, innovating the “Blockchain Financial Targeted Platform for Poverty Alleviation” and leveraging “</w:t>
      </w:r>
      <w:proofErr w:type="spellStart"/>
      <w:r w:rsidRPr="00470D30">
        <w:rPr>
          <w:rFonts w:eastAsia="彩虹粗仿宋"/>
          <w:sz w:val="24"/>
          <w:szCs w:val="24"/>
        </w:rPr>
        <w:t>Shanrong</w:t>
      </w:r>
      <w:proofErr w:type="spellEnd"/>
      <w:r w:rsidRPr="00470D30">
        <w:rPr>
          <w:rFonts w:eastAsia="彩虹粗仿宋"/>
          <w:sz w:val="24"/>
          <w:szCs w:val="24"/>
        </w:rPr>
        <w:t xml:space="preserve"> Commerce”, an e-commerce platform, to facilitate consumption-led poverty alleviation. By the end of 2018, Shan Rong Business had been used by 3,878 poverty alleviation merchants, achieving a poverty alleviation transaction amount of RMB10.0</w:t>
      </w:r>
      <w:r w:rsidR="00FC22E0">
        <w:rPr>
          <w:rFonts w:eastAsia="彩虹粗仿宋"/>
          <w:sz w:val="24"/>
          <w:szCs w:val="24"/>
        </w:rPr>
        <w:t>1</w:t>
      </w:r>
      <w:r w:rsidRPr="00470D30">
        <w:rPr>
          <w:rFonts w:eastAsia="彩虹粗仿宋"/>
          <w:sz w:val="24"/>
          <w:szCs w:val="24"/>
        </w:rPr>
        <w:t xml:space="preserve"> billion for the year.</w:t>
      </w:r>
    </w:p>
    <w:p w14:paraId="610A6541" w14:textId="77777777" w:rsidR="00391F8B" w:rsidRPr="00470D30" w:rsidRDefault="00391F8B" w:rsidP="00FD4E72">
      <w:pPr>
        <w:spacing w:line="360" w:lineRule="exact"/>
        <w:ind w:firstLineChars="200" w:firstLine="480"/>
        <w:jc w:val="both"/>
        <w:rPr>
          <w:rFonts w:eastAsia="彩虹粗仿宋"/>
          <w:sz w:val="24"/>
          <w:szCs w:val="24"/>
        </w:rPr>
      </w:pPr>
    </w:p>
    <w:p w14:paraId="66DB4873" w14:textId="357254F8" w:rsidR="00391F8B" w:rsidRPr="00FC22E0" w:rsidRDefault="00391F8B" w:rsidP="002622E4">
      <w:pPr>
        <w:autoSpaceDE w:val="0"/>
        <w:autoSpaceDN w:val="0"/>
        <w:jc w:val="both"/>
        <w:rPr>
          <w:rFonts w:eastAsia="Times New Roman"/>
          <w:lang w:val="en-US" w:eastAsia="zh-CN"/>
        </w:rPr>
      </w:pPr>
      <w:r w:rsidRPr="00470D30">
        <w:rPr>
          <w:rFonts w:eastAsia="彩虹粗仿宋"/>
          <w:sz w:val="24"/>
          <w:szCs w:val="24"/>
        </w:rPr>
        <w:t>Through the “taking along the staff, customers and organizations to do charity” approach, CCB fulfilled its social responsibility as a state-owned big bank. In 2018, the total donation towards public welfare was RMB89.41 million. The Bank has implemented many long-term public welfare projects including CCB Hope Primary Schools and Development Plans for High School Students</w:t>
      </w:r>
      <w:r w:rsidR="00FC22E0">
        <w:rPr>
          <w:rFonts w:eastAsia="彩虹粗仿宋"/>
          <w:sz w:val="24"/>
          <w:szCs w:val="24"/>
        </w:rPr>
        <w:t xml:space="preserve">, </w:t>
      </w:r>
      <w:r w:rsidR="00FC22E0">
        <w:rPr>
          <w:sz w:val="24"/>
          <w:szCs w:val="24"/>
        </w:rPr>
        <w:t xml:space="preserve">Health Express for Mothers and </w:t>
      </w:r>
      <w:r w:rsidR="00FC22E0" w:rsidRPr="00FC22E0">
        <w:rPr>
          <w:sz w:val="24"/>
          <w:szCs w:val="24"/>
        </w:rPr>
        <w:t>CCB Financial Aid Plan for Impoverished Mothers of Heroes</w:t>
      </w:r>
      <w:r w:rsidRPr="00470D30">
        <w:rPr>
          <w:rFonts w:eastAsia="彩虹粗仿宋"/>
          <w:sz w:val="24"/>
          <w:szCs w:val="24"/>
        </w:rPr>
        <w:t xml:space="preserve">. In 2018, CCB's comprehensive strength, operational capability and service level continued to be widely recognized by customers and the market. It was awarded the Best Bank of China in 2018 by the </w:t>
      </w:r>
      <w:r w:rsidRPr="00470D30">
        <w:rPr>
          <w:rFonts w:eastAsia="彩虹粗仿宋"/>
          <w:i/>
          <w:sz w:val="24"/>
          <w:szCs w:val="24"/>
        </w:rPr>
        <w:t>Banker</w:t>
      </w:r>
      <w:r w:rsidRPr="00470D30">
        <w:rPr>
          <w:rFonts w:eastAsia="彩虹粗仿宋"/>
          <w:sz w:val="24"/>
          <w:szCs w:val="24"/>
        </w:rPr>
        <w:t xml:space="preserve"> and the Overall Best State-owned Private Bank by </w:t>
      </w:r>
      <w:proofErr w:type="spellStart"/>
      <w:r w:rsidRPr="00470D30">
        <w:rPr>
          <w:rFonts w:eastAsia="彩虹粗仿宋"/>
          <w:i/>
          <w:sz w:val="24"/>
          <w:szCs w:val="24"/>
        </w:rPr>
        <w:t>Asiamoney</w:t>
      </w:r>
      <w:proofErr w:type="spellEnd"/>
      <w:r w:rsidRPr="00470D30">
        <w:rPr>
          <w:rFonts w:eastAsia="彩虹粗仿宋"/>
          <w:sz w:val="24"/>
          <w:szCs w:val="24"/>
        </w:rPr>
        <w:t xml:space="preserve">; it was awarded, for four consecutive years, Best Mega Retail Bank in China by </w:t>
      </w:r>
      <w:r w:rsidRPr="00470D30">
        <w:rPr>
          <w:rFonts w:eastAsia="彩虹粗仿宋"/>
          <w:i/>
          <w:sz w:val="24"/>
          <w:szCs w:val="24"/>
        </w:rPr>
        <w:t>The Asian Banker</w:t>
      </w:r>
      <w:r w:rsidRPr="00470D30">
        <w:rPr>
          <w:rFonts w:eastAsia="彩虹粗仿宋"/>
          <w:sz w:val="24"/>
          <w:szCs w:val="24"/>
        </w:rPr>
        <w:t>, and ranked first among National Commercial Banks in the 2018 "Gyro" Evaluation System.</w:t>
      </w:r>
    </w:p>
    <w:p w14:paraId="05775BD1" w14:textId="77777777" w:rsidR="00391F8B" w:rsidRPr="00470D30" w:rsidRDefault="00391F8B" w:rsidP="00FD4E72">
      <w:pPr>
        <w:spacing w:line="360" w:lineRule="exact"/>
        <w:ind w:firstLineChars="200" w:firstLine="480"/>
        <w:jc w:val="both"/>
        <w:rPr>
          <w:rFonts w:eastAsia="彩虹粗仿宋"/>
          <w:sz w:val="24"/>
          <w:szCs w:val="24"/>
        </w:rPr>
      </w:pPr>
    </w:p>
    <w:p w14:paraId="4F0A13F4" w14:textId="77777777" w:rsidR="00391F8B" w:rsidRPr="00470D30" w:rsidRDefault="00391F8B" w:rsidP="00FD4E72">
      <w:pPr>
        <w:spacing w:line="360" w:lineRule="exact"/>
        <w:jc w:val="both"/>
        <w:rPr>
          <w:rFonts w:eastAsia="彩虹粗仿宋"/>
          <w:sz w:val="24"/>
          <w:szCs w:val="24"/>
        </w:rPr>
      </w:pPr>
      <w:r w:rsidRPr="00470D30">
        <w:rPr>
          <w:rFonts w:eastAsia="彩虹粗仿宋"/>
          <w:sz w:val="24"/>
          <w:szCs w:val="24"/>
        </w:rPr>
        <w:t>The year 2019 marks the 70</w:t>
      </w:r>
      <w:r w:rsidRPr="00470D30">
        <w:rPr>
          <w:rFonts w:eastAsia="彩虹粗仿宋"/>
          <w:sz w:val="24"/>
          <w:szCs w:val="24"/>
          <w:vertAlign w:val="superscript"/>
        </w:rPr>
        <w:t>th</w:t>
      </w:r>
      <w:r w:rsidRPr="00470D30">
        <w:rPr>
          <w:rFonts w:eastAsia="彩虹粗仿宋"/>
          <w:sz w:val="24"/>
          <w:szCs w:val="24"/>
        </w:rPr>
        <w:t xml:space="preserve"> anniversary of the founding of the People’s Republic of China and is a crucial year in securing a decisive victory in building an all-round well-off society. The economic situation at home and abroad is complex, with both opportunities and challenges. The Bank will continue to move forward in its mission of “serving the public to live and work in peace and build a modern and beautiful life.” With patience and perseverance, the Bank will use its finance prowess to relieve the pain points in the economy and society. CCB will enhance its capacity to serve the country, guard against financial risks and increase its international competitiveness. The Bank will create greater value and returns for its shareholders, take on more </w:t>
      </w:r>
      <w:r w:rsidRPr="00470D30">
        <w:rPr>
          <w:rFonts w:eastAsia="彩虹粗仿宋"/>
          <w:sz w:val="24"/>
          <w:szCs w:val="24"/>
        </w:rPr>
        <w:lastRenderedPageBreak/>
        <w:t>social responsibility, and contribute to the economic and social development in the new era.</w:t>
      </w:r>
    </w:p>
    <w:p w14:paraId="50AC45DD" w14:textId="77777777" w:rsidR="00391F8B" w:rsidRPr="00470D30" w:rsidRDefault="00391F8B" w:rsidP="00FD4E72">
      <w:pPr>
        <w:spacing w:line="360" w:lineRule="exact"/>
        <w:ind w:firstLineChars="50" w:firstLine="120"/>
        <w:jc w:val="both"/>
        <w:rPr>
          <w:rFonts w:eastAsia="彩虹粗仿宋"/>
          <w:sz w:val="24"/>
          <w:szCs w:val="24"/>
        </w:rPr>
      </w:pPr>
    </w:p>
    <w:p w14:paraId="526B3865" w14:textId="43995ADB" w:rsidR="00391F8B" w:rsidRPr="00470D30" w:rsidRDefault="00391F8B" w:rsidP="00FD4E72">
      <w:pPr>
        <w:spacing w:line="360" w:lineRule="exact"/>
        <w:jc w:val="both"/>
        <w:rPr>
          <w:rFonts w:eastAsia="彩虹粗仿宋"/>
          <w:b/>
          <w:sz w:val="24"/>
          <w:szCs w:val="24"/>
        </w:rPr>
      </w:pPr>
      <w:r w:rsidRPr="00470D30">
        <w:rPr>
          <w:rFonts w:eastAsia="彩虹粗仿宋"/>
          <w:sz w:val="24"/>
          <w:szCs w:val="24"/>
        </w:rPr>
        <w:br w:type="page"/>
      </w:r>
      <w:r w:rsidRPr="00470D30">
        <w:rPr>
          <w:rFonts w:eastAsia="彩虹粗仿宋"/>
          <w:b/>
          <w:sz w:val="24"/>
          <w:szCs w:val="24"/>
        </w:rPr>
        <w:lastRenderedPageBreak/>
        <w:t>About CCB</w:t>
      </w:r>
    </w:p>
    <w:p w14:paraId="765F5BB8" w14:textId="77777777" w:rsidR="00391F8B" w:rsidRPr="00470D30" w:rsidRDefault="00391F8B" w:rsidP="00FD4E72">
      <w:pPr>
        <w:spacing w:line="360" w:lineRule="exact"/>
        <w:jc w:val="both"/>
        <w:rPr>
          <w:rFonts w:eastAsia="彩虹粗仿宋"/>
          <w:sz w:val="24"/>
          <w:szCs w:val="24"/>
        </w:rPr>
      </w:pPr>
      <w:r w:rsidRPr="00470D30">
        <w:rPr>
          <w:rFonts w:eastAsia="彩虹粗仿宋"/>
          <w:sz w:val="24"/>
          <w:szCs w:val="24"/>
        </w:rPr>
        <w:t>China Construction Bank Corporation (“CCB” or “the Bank”), headquartered in Beijing, is a leading large-scale joint stock commercial bank in Mainland China, and began operations in October 1954 as China Construction Bank. The Bank was listed on Hong Kong Stock Exchange in October 2005 (stock code: 939) and listed on the Shanghai Stock Exchange in September 2007 (stock code: 601939).</w:t>
      </w:r>
      <w:r w:rsidRPr="00470D30">
        <w:rPr>
          <w:sz w:val="24"/>
          <w:szCs w:val="24"/>
        </w:rPr>
        <w:t xml:space="preserve"> </w:t>
      </w:r>
      <w:r w:rsidRPr="00470D30">
        <w:rPr>
          <w:rFonts w:eastAsia="彩虹粗仿宋"/>
          <w:sz w:val="24"/>
          <w:szCs w:val="24"/>
        </w:rPr>
        <w:t>At the end of 2018, the Bank’s market capitalisation reached US$207.179 billion, ranking fifth among listed banks in the world. Based on Tier 1 capital, the Bank ranks second among global banks.</w:t>
      </w:r>
    </w:p>
    <w:p w14:paraId="434EAAAA" w14:textId="77777777" w:rsidR="00391F8B" w:rsidRPr="00470D30" w:rsidRDefault="00391F8B" w:rsidP="00FD4E72">
      <w:pPr>
        <w:spacing w:line="360" w:lineRule="exact"/>
        <w:ind w:firstLineChars="200" w:firstLine="480"/>
        <w:jc w:val="both"/>
        <w:rPr>
          <w:rFonts w:eastAsia="彩虹粗仿宋"/>
          <w:sz w:val="24"/>
          <w:szCs w:val="24"/>
        </w:rPr>
      </w:pPr>
    </w:p>
    <w:p w14:paraId="3BF6094F" w14:textId="77777777" w:rsidR="00391F8B" w:rsidRPr="00470D30" w:rsidRDefault="00391F8B" w:rsidP="00FD4E72">
      <w:pPr>
        <w:spacing w:line="360" w:lineRule="exact"/>
        <w:jc w:val="both"/>
        <w:rPr>
          <w:rFonts w:eastAsia="彩虹粗仿宋"/>
          <w:sz w:val="24"/>
          <w:szCs w:val="24"/>
        </w:rPr>
      </w:pPr>
      <w:r w:rsidRPr="00470D30">
        <w:rPr>
          <w:sz w:val="24"/>
          <w:szCs w:val="24"/>
        </w:rPr>
        <w:t xml:space="preserve">With 14,977 branches and 345,971 employees, the bank provides comprehensive financial services including personal banking, corporate banking, investment and wealth management to hundreds of millions of individual and corporate customers. CCB has more than 200 branches and subsidiaries of all levels in 29 countries and regions around the world. The Group’s subsidiaries cover multiple business areas, such as mutual funds, financial leasing, trust, life insurance, property insurance, </w:t>
      </w:r>
      <w:r w:rsidRPr="00470D30">
        <w:rPr>
          <w:rFonts w:eastAsia="彩虹粗仿宋"/>
          <w:sz w:val="24"/>
          <w:szCs w:val="24"/>
        </w:rPr>
        <w:t>investment banking, futures and pension.</w:t>
      </w:r>
    </w:p>
    <w:p w14:paraId="68CFF576" w14:textId="77777777" w:rsidR="00391F8B" w:rsidRPr="00470D30" w:rsidRDefault="00391F8B" w:rsidP="00FD4E72">
      <w:pPr>
        <w:spacing w:line="360" w:lineRule="exact"/>
        <w:ind w:firstLineChars="200" w:firstLine="480"/>
        <w:jc w:val="both"/>
        <w:rPr>
          <w:rFonts w:eastAsia="彩虹粗仿宋"/>
          <w:sz w:val="24"/>
          <w:szCs w:val="24"/>
        </w:rPr>
      </w:pPr>
    </w:p>
    <w:p w14:paraId="0D08A0F0" w14:textId="77777777" w:rsidR="00391F8B" w:rsidRPr="00470D30" w:rsidRDefault="00391F8B" w:rsidP="00FD4E72">
      <w:pPr>
        <w:spacing w:line="360" w:lineRule="exact"/>
        <w:jc w:val="both"/>
        <w:rPr>
          <w:rFonts w:eastAsia="彩虹粗仿宋"/>
          <w:sz w:val="24"/>
          <w:szCs w:val="24"/>
        </w:rPr>
      </w:pPr>
      <w:r w:rsidRPr="00470D30">
        <w:rPr>
          <w:rFonts w:eastAsia="彩虹粗仿宋"/>
          <w:sz w:val="24"/>
          <w:szCs w:val="24"/>
        </w:rPr>
        <w:t>The Bank upholds its “customer-centric, market-oriented” business philosophy and is dedicated to be the bank with the best value creation capability, accommodating both short-term and long-term benefits, both the goals of business operation and social responsibility, and ultimately maximizing the value for the customers, shareholders, society and employees.</w:t>
      </w:r>
    </w:p>
    <w:p w14:paraId="1F12CE56" w14:textId="77777777" w:rsidR="00391F8B" w:rsidRPr="00470D30" w:rsidRDefault="00391F8B" w:rsidP="00FD4E72">
      <w:pPr>
        <w:spacing w:line="360" w:lineRule="exact"/>
        <w:jc w:val="both"/>
        <w:rPr>
          <w:rFonts w:eastAsia="彩虹粗仿宋"/>
          <w:sz w:val="24"/>
          <w:szCs w:val="24"/>
        </w:rPr>
      </w:pPr>
    </w:p>
    <w:p w14:paraId="3196B552" w14:textId="77777777" w:rsidR="003C6C26" w:rsidRPr="00470D30" w:rsidRDefault="003C6C26" w:rsidP="00FD4E72">
      <w:pPr>
        <w:jc w:val="both"/>
      </w:pPr>
    </w:p>
    <w:sectPr w:rsidR="003C6C26" w:rsidRPr="00470D30" w:rsidSect="00C524DC">
      <w:headerReference w:type="default" r:id="rId9"/>
      <w:footerReference w:type="default" r:id="rId10"/>
      <w:pgSz w:w="11906" w:h="16838"/>
      <w:pgMar w:top="1440" w:right="1800" w:bottom="1170" w:left="1800" w:header="851" w:footer="58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F0069" w14:textId="77777777" w:rsidR="00E06845" w:rsidRDefault="00E06845" w:rsidP="005C5D4D">
      <w:r>
        <w:separator/>
      </w:r>
    </w:p>
  </w:endnote>
  <w:endnote w:type="continuationSeparator" w:id="0">
    <w:p w14:paraId="79B61FCD" w14:textId="77777777" w:rsidR="00E06845" w:rsidRDefault="00E06845" w:rsidP="005C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彩虹黑体">
    <w:panose1 w:val="0201060900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彩虹小标宋">
    <w:panose1 w:val="02010609000101010101"/>
    <w:charset w:val="86"/>
    <w:family w:val="modern"/>
    <w:pitch w:val="fixed"/>
    <w:sig w:usb0="00000001" w:usb1="080E0000" w:usb2="00000010" w:usb3="00000000" w:csb0="00040000" w:csb1="00000000"/>
  </w:font>
  <w:font w:name="彩虹粗仿宋">
    <w:panose1 w:val="0201060900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887761"/>
      <w:docPartObj>
        <w:docPartGallery w:val="Page Numbers (Bottom of Page)"/>
        <w:docPartUnique/>
      </w:docPartObj>
    </w:sdtPr>
    <w:sdtEndPr/>
    <w:sdtContent>
      <w:p w14:paraId="30264E10" w14:textId="315E6BEE" w:rsidR="000D30CC" w:rsidRDefault="000D30CC">
        <w:pPr>
          <w:pStyle w:val="a6"/>
          <w:jc w:val="center"/>
        </w:pPr>
        <w:r w:rsidRPr="00F25260">
          <w:rPr>
            <w:rFonts w:ascii="Arial" w:hAnsi="Arial" w:cs="Arial"/>
          </w:rPr>
          <w:fldChar w:fldCharType="begin"/>
        </w:r>
        <w:r w:rsidRPr="00F25260">
          <w:rPr>
            <w:rFonts w:ascii="Arial" w:hAnsi="Arial" w:cs="Arial"/>
          </w:rPr>
          <w:instrText>PAGE   \* MERGEFORMAT</w:instrText>
        </w:r>
        <w:r w:rsidRPr="00F25260">
          <w:rPr>
            <w:rFonts w:ascii="Arial" w:hAnsi="Arial" w:cs="Arial"/>
          </w:rPr>
          <w:fldChar w:fldCharType="separate"/>
        </w:r>
        <w:r w:rsidR="005A4F07" w:rsidRPr="005A4F07">
          <w:rPr>
            <w:rFonts w:ascii="Arial" w:hAnsi="Arial" w:cs="Arial"/>
            <w:noProof/>
            <w:lang w:val="zh-CN" w:eastAsia="zh-CN"/>
          </w:rPr>
          <w:t>1</w:t>
        </w:r>
        <w:r w:rsidRPr="00F25260">
          <w:rPr>
            <w:rFonts w:ascii="Arial" w:hAnsi="Arial" w:cs="Arial"/>
          </w:rPr>
          <w:fldChar w:fldCharType="end"/>
        </w:r>
      </w:p>
    </w:sdtContent>
  </w:sdt>
  <w:p w14:paraId="488D9799" w14:textId="77777777" w:rsidR="000D30CC" w:rsidRDefault="000D30C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61CF1" w14:textId="77777777" w:rsidR="00E06845" w:rsidRDefault="00E06845" w:rsidP="005C5D4D">
      <w:r>
        <w:separator/>
      </w:r>
    </w:p>
  </w:footnote>
  <w:footnote w:type="continuationSeparator" w:id="0">
    <w:p w14:paraId="2EAE228B" w14:textId="77777777" w:rsidR="00E06845" w:rsidRDefault="00E06845" w:rsidP="005C5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F9449" w14:textId="77777777" w:rsidR="000D30CC" w:rsidRDefault="000D30CC" w:rsidP="003D3277">
    <w:pPr>
      <w:jc w:val="right"/>
    </w:pPr>
    <w:r w:rsidRPr="003D3277">
      <w:rPr>
        <w:noProof/>
        <w:lang w:val="en-US" w:eastAsia="zh-CN"/>
      </w:rPr>
      <w:drawing>
        <wp:inline distT="0" distB="0" distL="0" distR="0" wp14:anchorId="6040C535" wp14:editId="2FDA6C94">
          <wp:extent cx="2324100" cy="790575"/>
          <wp:effectExtent l="0" t="0" r="0" b="9525"/>
          <wp:docPr id="5"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1">
                    <a:extLst>
                      <a:ext uri="{28A0092B-C50C-407E-A947-70E740481C1C}">
                        <a14:useLocalDpi xmlns:a14="http://schemas.microsoft.com/office/drawing/2010/main" val="0"/>
                      </a:ext>
                    </a:extLst>
                  </a:blip>
                  <a:srcRect t="30659" b="34827"/>
                  <a:stretch>
                    <a:fillRect/>
                  </a:stretch>
                </pic:blipFill>
                <pic:spPr bwMode="auto">
                  <a:xfrm>
                    <a:off x="0" y="0"/>
                    <a:ext cx="232410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F4C37"/>
    <w:multiLevelType w:val="hybridMultilevel"/>
    <w:tmpl w:val="5C466A76"/>
    <w:lvl w:ilvl="0" w:tplc="FFFFFFFF">
      <w:start w:val="1"/>
      <w:numFmt w:val="bullet"/>
      <w:pStyle w:val="a"/>
      <w:lvlText w:val=""/>
      <w:lvlJc w:val="left"/>
      <w:pPr>
        <w:tabs>
          <w:tab w:val="num" w:pos="5557"/>
        </w:tabs>
        <w:ind w:left="5557" w:hanging="454"/>
      </w:pPr>
      <w:rPr>
        <w:rFonts w:ascii="Symbol" w:hAnsi="Symbol" w:hint="default"/>
        <w:color w:val="auto"/>
        <w:sz w:val="22"/>
        <w:szCs w:val="22"/>
      </w:rPr>
    </w:lvl>
    <w:lvl w:ilvl="1" w:tplc="FFFFFFFF">
      <w:start w:val="1"/>
      <w:numFmt w:val="bullet"/>
      <w:lvlText w:val=""/>
      <w:lvlJc w:val="left"/>
      <w:pPr>
        <w:tabs>
          <w:tab w:val="num" w:pos="5443"/>
        </w:tabs>
        <w:ind w:left="5443" w:hanging="340"/>
      </w:pPr>
      <w:rPr>
        <w:rFonts w:ascii="Symbol" w:hAnsi="Symbol" w:hint="default"/>
        <w:color w:val="auto"/>
        <w:sz w:val="22"/>
        <w:szCs w:val="22"/>
      </w:rPr>
    </w:lvl>
    <w:lvl w:ilvl="2" w:tplc="FFFFFFFF">
      <w:start w:val="1"/>
      <w:numFmt w:val="bullet"/>
      <w:lvlText w:val=""/>
      <w:lvlJc w:val="left"/>
      <w:pPr>
        <w:tabs>
          <w:tab w:val="num" w:pos="7263"/>
        </w:tabs>
        <w:ind w:left="7263" w:hanging="360"/>
      </w:pPr>
      <w:rPr>
        <w:rFonts w:ascii="Wingdings" w:hAnsi="Wingdings" w:hint="default"/>
      </w:rPr>
    </w:lvl>
    <w:lvl w:ilvl="3" w:tplc="FFFFFFFF" w:tentative="1">
      <w:start w:val="1"/>
      <w:numFmt w:val="bullet"/>
      <w:lvlText w:val=""/>
      <w:lvlJc w:val="left"/>
      <w:pPr>
        <w:tabs>
          <w:tab w:val="num" w:pos="7983"/>
        </w:tabs>
        <w:ind w:left="7983" w:hanging="360"/>
      </w:pPr>
      <w:rPr>
        <w:rFonts w:ascii="Symbol" w:hAnsi="Symbol" w:hint="default"/>
      </w:rPr>
    </w:lvl>
    <w:lvl w:ilvl="4" w:tplc="FFFFFFFF" w:tentative="1">
      <w:start w:val="1"/>
      <w:numFmt w:val="bullet"/>
      <w:lvlText w:val="o"/>
      <w:lvlJc w:val="left"/>
      <w:pPr>
        <w:tabs>
          <w:tab w:val="num" w:pos="8703"/>
        </w:tabs>
        <w:ind w:left="8703" w:hanging="360"/>
      </w:pPr>
      <w:rPr>
        <w:rFonts w:ascii="Courier New" w:hAnsi="Courier New" w:hint="default"/>
      </w:rPr>
    </w:lvl>
    <w:lvl w:ilvl="5" w:tplc="FFFFFFFF" w:tentative="1">
      <w:start w:val="1"/>
      <w:numFmt w:val="bullet"/>
      <w:lvlText w:val=""/>
      <w:lvlJc w:val="left"/>
      <w:pPr>
        <w:tabs>
          <w:tab w:val="num" w:pos="9423"/>
        </w:tabs>
        <w:ind w:left="9423" w:hanging="360"/>
      </w:pPr>
      <w:rPr>
        <w:rFonts w:ascii="Wingdings" w:hAnsi="Wingdings" w:hint="default"/>
      </w:rPr>
    </w:lvl>
    <w:lvl w:ilvl="6" w:tplc="FFFFFFFF" w:tentative="1">
      <w:start w:val="1"/>
      <w:numFmt w:val="bullet"/>
      <w:lvlText w:val=""/>
      <w:lvlJc w:val="left"/>
      <w:pPr>
        <w:tabs>
          <w:tab w:val="num" w:pos="10143"/>
        </w:tabs>
        <w:ind w:left="10143" w:hanging="360"/>
      </w:pPr>
      <w:rPr>
        <w:rFonts w:ascii="Symbol" w:hAnsi="Symbol" w:hint="default"/>
      </w:rPr>
    </w:lvl>
    <w:lvl w:ilvl="7" w:tplc="FFFFFFFF" w:tentative="1">
      <w:start w:val="1"/>
      <w:numFmt w:val="bullet"/>
      <w:lvlText w:val="o"/>
      <w:lvlJc w:val="left"/>
      <w:pPr>
        <w:tabs>
          <w:tab w:val="num" w:pos="10863"/>
        </w:tabs>
        <w:ind w:left="10863" w:hanging="360"/>
      </w:pPr>
      <w:rPr>
        <w:rFonts w:ascii="Courier New" w:hAnsi="Courier New" w:hint="default"/>
      </w:rPr>
    </w:lvl>
    <w:lvl w:ilvl="8" w:tplc="FFFFFFFF" w:tentative="1">
      <w:start w:val="1"/>
      <w:numFmt w:val="bullet"/>
      <w:lvlText w:val=""/>
      <w:lvlJc w:val="left"/>
      <w:pPr>
        <w:tabs>
          <w:tab w:val="num" w:pos="11583"/>
        </w:tabs>
        <w:ind w:left="11583" w:hanging="360"/>
      </w:pPr>
      <w:rPr>
        <w:rFonts w:ascii="Wingdings" w:hAnsi="Wingdings" w:hint="default"/>
      </w:rPr>
    </w:lvl>
  </w:abstractNum>
  <w:abstractNum w:abstractNumId="1">
    <w:nsid w:val="563C0086"/>
    <w:multiLevelType w:val="hybridMultilevel"/>
    <w:tmpl w:val="B9DA9538"/>
    <w:lvl w:ilvl="0" w:tplc="29003168">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62AE0485"/>
    <w:multiLevelType w:val="hybridMultilevel"/>
    <w:tmpl w:val="49246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084"/>
    <w:rsid w:val="00003FE3"/>
    <w:rsid w:val="0000540D"/>
    <w:rsid w:val="000064E0"/>
    <w:rsid w:val="000112F8"/>
    <w:rsid w:val="00011D55"/>
    <w:rsid w:val="00012DB2"/>
    <w:rsid w:val="0002051A"/>
    <w:rsid w:val="00026DB8"/>
    <w:rsid w:val="00030610"/>
    <w:rsid w:val="0003464D"/>
    <w:rsid w:val="000354DA"/>
    <w:rsid w:val="00036ADD"/>
    <w:rsid w:val="00040236"/>
    <w:rsid w:val="00040D93"/>
    <w:rsid w:val="000420AA"/>
    <w:rsid w:val="00045B2A"/>
    <w:rsid w:val="00053186"/>
    <w:rsid w:val="0005415B"/>
    <w:rsid w:val="000543C0"/>
    <w:rsid w:val="00057ECA"/>
    <w:rsid w:val="00060F38"/>
    <w:rsid w:val="00061166"/>
    <w:rsid w:val="00061F09"/>
    <w:rsid w:val="00064658"/>
    <w:rsid w:val="000649EE"/>
    <w:rsid w:val="00065F0C"/>
    <w:rsid w:val="00070707"/>
    <w:rsid w:val="00071ABA"/>
    <w:rsid w:val="00075309"/>
    <w:rsid w:val="00076331"/>
    <w:rsid w:val="00080F3E"/>
    <w:rsid w:val="00081D0B"/>
    <w:rsid w:val="00082874"/>
    <w:rsid w:val="00084766"/>
    <w:rsid w:val="00087ADE"/>
    <w:rsid w:val="00090432"/>
    <w:rsid w:val="0009220C"/>
    <w:rsid w:val="000A6A6F"/>
    <w:rsid w:val="000B0355"/>
    <w:rsid w:val="000B106E"/>
    <w:rsid w:val="000B4B0D"/>
    <w:rsid w:val="000B6535"/>
    <w:rsid w:val="000D08E0"/>
    <w:rsid w:val="000D30CC"/>
    <w:rsid w:val="000D4923"/>
    <w:rsid w:val="000D5CD0"/>
    <w:rsid w:val="000E5006"/>
    <w:rsid w:val="000E5C4B"/>
    <w:rsid w:val="000F040A"/>
    <w:rsid w:val="000F1248"/>
    <w:rsid w:val="000F16D0"/>
    <w:rsid w:val="000F5F7D"/>
    <w:rsid w:val="000F6AC4"/>
    <w:rsid w:val="001005A3"/>
    <w:rsid w:val="00105FE8"/>
    <w:rsid w:val="0011143B"/>
    <w:rsid w:val="001264FD"/>
    <w:rsid w:val="001267C1"/>
    <w:rsid w:val="0012743A"/>
    <w:rsid w:val="00133903"/>
    <w:rsid w:val="001368E2"/>
    <w:rsid w:val="00140590"/>
    <w:rsid w:val="00150EB6"/>
    <w:rsid w:val="00160AF7"/>
    <w:rsid w:val="001629D4"/>
    <w:rsid w:val="00184AD4"/>
    <w:rsid w:val="00184E19"/>
    <w:rsid w:val="00192582"/>
    <w:rsid w:val="0019394C"/>
    <w:rsid w:val="001B2CBA"/>
    <w:rsid w:val="001B2FC0"/>
    <w:rsid w:val="001B4169"/>
    <w:rsid w:val="001B6F20"/>
    <w:rsid w:val="001C0577"/>
    <w:rsid w:val="001C1B5C"/>
    <w:rsid w:val="001C51E3"/>
    <w:rsid w:val="001D2170"/>
    <w:rsid w:val="001D4C17"/>
    <w:rsid w:val="001D5E00"/>
    <w:rsid w:val="001E04EE"/>
    <w:rsid w:val="001F0CD0"/>
    <w:rsid w:val="001F17F8"/>
    <w:rsid w:val="001F272B"/>
    <w:rsid w:val="001F5029"/>
    <w:rsid w:val="001F6422"/>
    <w:rsid w:val="001F6FDD"/>
    <w:rsid w:val="00200395"/>
    <w:rsid w:val="00204B53"/>
    <w:rsid w:val="00204EF7"/>
    <w:rsid w:val="002121BE"/>
    <w:rsid w:val="00212F10"/>
    <w:rsid w:val="002153DD"/>
    <w:rsid w:val="00223945"/>
    <w:rsid w:val="0022488F"/>
    <w:rsid w:val="00226EBD"/>
    <w:rsid w:val="002276B9"/>
    <w:rsid w:val="002336A2"/>
    <w:rsid w:val="00236F22"/>
    <w:rsid w:val="00240FB4"/>
    <w:rsid w:val="00253F18"/>
    <w:rsid w:val="0025504A"/>
    <w:rsid w:val="002603BA"/>
    <w:rsid w:val="002622E4"/>
    <w:rsid w:val="002625EF"/>
    <w:rsid w:val="00262F63"/>
    <w:rsid w:val="00263287"/>
    <w:rsid w:val="00264665"/>
    <w:rsid w:val="00267A39"/>
    <w:rsid w:val="00272B21"/>
    <w:rsid w:val="0027312E"/>
    <w:rsid w:val="00274DC4"/>
    <w:rsid w:val="00276246"/>
    <w:rsid w:val="002801D5"/>
    <w:rsid w:val="00280F78"/>
    <w:rsid w:val="002867A2"/>
    <w:rsid w:val="00290AB7"/>
    <w:rsid w:val="0029341B"/>
    <w:rsid w:val="00294F5B"/>
    <w:rsid w:val="002A6AE4"/>
    <w:rsid w:val="002A7553"/>
    <w:rsid w:val="002B256D"/>
    <w:rsid w:val="002C2F6F"/>
    <w:rsid w:val="002D163A"/>
    <w:rsid w:val="002D186D"/>
    <w:rsid w:val="002D7EF0"/>
    <w:rsid w:val="002E07F4"/>
    <w:rsid w:val="002E2C0D"/>
    <w:rsid w:val="002F62F9"/>
    <w:rsid w:val="0030061F"/>
    <w:rsid w:val="00302EF2"/>
    <w:rsid w:val="00303BB3"/>
    <w:rsid w:val="003047C3"/>
    <w:rsid w:val="00305B61"/>
    <w:rsid w:val="003104DE"/>
    <w:rsid w:val="00321CB6"/>
    <w:rsid w:val="00321F03"/>
    <w:rsid w:val="0032483E"/>
    <w:rsid w:val="00332352"/>
    <w:rsid w:val="00333760"/>
    <w:rsid w:val="00334E40"/>
    <w:rsid w:val="0033654C"/>
    <w:rsid w:val="00343F3C"/>
    <w:rsid w:val="003459B4"/>
    <w:rsid w:val="00351A44"/>
    <w:rsid w:val="00354143"/>
    <w:rsid w:val="00354C0F"/>
    <w:rsid w:val="003561AA"/>
    <w:rsid w:val="00363CFA"/>
    <w:rsid w:val="003645D4"/>
    <w:rsid w:val="00366543"/>
    <w:rsid w:val="00367DEB"/>
    <w:rsid w:val="003705FB"/>
    <w:rsid w:val="003722BA"/>
    <w:rsid w:val="003724ED"/>
    <w:rsid w:val="00376ADB"/>
    <w:rsid w:val="00377548"/>
    <w:rsid w:val="00382964"/>
    <w:rsid w:val="00382FD0"/>
    <w:rsid w:val="00382FE3"/>
    <w:rsid w:val="003865AF"/>
    <w:rsid w:val="00386D3D"/>
    <w:rsid w:val="003903FC"/>
    <w:rsid w:val="00391F8B"/>
    <w:rsid w:val="00395C17"/>
    <w:rsid w:val="003A2E4F"/>
    <w:rsid w:val="003A3940"/>
    <w:rsid w:val="003A51A6"/>
    <w:rsid w:val="003B053B"/>
    <w:rsid w:val="003B0A35"/>
    <w:rsid w:val="003B1DF5"/>
    <w:rsid w:val="003B525B"/>
    <w:rsid w:val="003B61A8"/>
    <w:rsid w:val="003C0CD3"/>
    <w:rsid w:val="003C1483"/>
    <w:rsid w:val="003C4AB4"/>
    <w:rsid w:val="003C67DB"/>
    <w:rsid w:val="003C6C26"/>
    <w:rsid w:val="003C7A7D"/>
    <w:rsid w:val="003D3277"/>
    <w:rsid w:val="003D52FC"/>
    <w:rsid w:val="003E32A5"/>
    <w:rsid w:val="003F259F"/>
    <w:rsid w:val="003F26D9"/>
    <w:rsid w:val="003F3784"/>
    <w:rsid w:val="003F3ED6"/>
    <w:rsid w:val="003F60D0"/>
    <w:rsid w:val="003F642A"/>
    <w:rsid w:val="00404D47"/>
    <w:rsid w:val="00416C4A"/>
    <w:rsid w:val="00426961"/>
    <w:rsid w:val="004278A4"/>
    <w:rsid w:val="00441754"/>
    <w:rsid w:val="004424CF"/>
    <w:rsid w:val="00444386"/>
    <w:rsid w:val="00457AD6"/>
    <w:rsid w:val="00462C8E"/>
    <w:rsid w:val="00464BA4"/>
    <w:rsid w:val="00465BDE"/>
    <w:rsid w:val="00470B35"/>
    <w:rsid w:val="00470D30"/>
    <w:rsid w:val="004717E3"/>
    <w:rsid w:val="004757BC"/>
    <w:rsid w:val="00475831"/>
    <w:rsid w:val="00482B2F"/>
    <w:rsid w:val="00483B18"/>
    <w:rsid w:val="00484F09"/>
    <w:rsid w:val="00485CFA"/>
    <w:rsid w:val="00486D26"/>
    <w:rsid w:val="004A2E9D"/>
    <w:rsid w:val="004A51CE"/>
    <w:rsid w:val="004A5B3F"/>
    <w:rsid w:val="004A7D7D"/>
    <w:rsid w:val="004B6DC8"/>
    <w:rsid w:val="004C1647"/>
    <w:rsid w:val="004E2B82"/>
    <w:rsid w:val="004E6B9E"/>
    <w:rsid w:val="004E764E"/>
    <w:rsid w:val="004F392D"/>
    <w:rsid w:val="0050621B"/>
    <w:rsid w:val="005106B8"/>
    <w:rsid w:val="00510E68"/>
    <w:rsid w:val="005127A2"/>
    <w:rsid w:val="00512F36"/>
    <w:rsid w:val="00516381"/>
    <w:rsid w:val="005169FD"/>
    <w:rsid w:val="005175B8"/>
    <w:rsid w:val="00521638"/>
    <w:rsid w:val="00523EF2"/>
    <w:rsid w:val="005249FF"/>
    <w:rsid w:val="005339AE"/>
    <w:rsid w:val="005401D8"/>
    <w:rsid w:val="005406B7"/>
    <w:rsid w:val="0054165D"/>
    <w:rsid w:val="00544EFF"/>
    <w:rsid w:val="00560B8D"/>
    <w:rsid w:val="00562264"/>
    <w:rsid w:val="00563356"/>
    <w:rsid w:val="005702DD"/>
    <w:rsid w:val="00575A6D"/>
    <w:rsid w:val="00580F6C"/>
    <w:rsid w:val="00591C5B"/>
    <w:rsid w:val="005924BD"/>
    <w:rsid w:val="00592E29"/>
    <w:rsid w:val="005947EC"/>
    <w:rsid w:val="00595751"/>
    <w:rsid w:val="005A2DB0"/>
    <w:rsid w:val="005A44BC"/>
    <w:rsid w:val="005A4F07"/>
    <w:rsid w:val="005A62B9"/>
    <w:rsid w:val="005B2ECA"/>
    <w:rsid w:val="005B449D"/>
    <w:rsid w:val="005B58B8"/>
    <w:rsid w:val="005B5EDE"/>
    <w:rsid w:val="005B6EFF"/>
    <w:rsid w:val="005C0FAC"/>
    <w:rsid w:val="005C1FEE"/>
    <w:rsid w:val="005C5D4D"/>
    <w:rsid w:val="005D112A"/>
    <w:rsid w:val="005D546D"/>
    <w:rsid w:val="005D647C"/>
    <w:rsid w:val="005E5954"/>
    <w:rsid w:val="005F1D19"/>
    <w:rsid w:val="005F73F1"/>
    <w:rsid w:val="0060541F"/>
    <w:rsid w:val="00606C60"/>
    <w:rsid w:val="00620DFF"/>
    <w:rsid w:val="00622EAD"/>
    <w:rsid w:val="00625C10"/>
    <w:rsid w:val="006272FB"/>
    <w:rsid w:val="006363DD"/>
    <w:rsid w:val="0064081B"/>
    <w:rsid w:val="00640CDE"/>
    <w:rsid w:val="00640F2D"/>
    <w:rsid w:val="0064195F"/>
    <w:rsid w:val="00641DD3"/>
    <w:rsid w:val="0064303E"/>
    <w:rsid w:val="00651BC2"/>
    <w:rsid w:val="00653C79"/>
    <w:rsid w:val="00655107"/>
    <w:rsid w:val="006577B3"/>
    <w:rsid w:val="00657CAF"/>
    <w:rsid w:val="00664EC4"/>
    <w:rsid w:val="006671C4"/>
    <w:rsid w:val="006673D3"/>
    <w:rsid w:val="0067457A"/>
    <w:rsid w:val="006808DD"/>
    <w:rsid w:val="0068202E"/>
    <w:rsid w:val="00683A44"/>
    <w:rsid w:val="00685417"/>
    <w:rsid w:val="006866EE"/>
    <w:rsid w:val="006A7E8C"/>
    <w:rsid w:val="006B087C"/>
    <w:rsid w:val="006B37CD"/>
    <w:rsid w:val="006B4D8F"/>
    <w:rsid w:val="006B7D5B"/>
    <w:rsid w:val="006B7EE8"/>
    <w:rsid w:val="006C596D"/>
    <w:rsid w:val="006C72A4"/>
    <w:rsid w:val="006D0754"/>
    <w:rsid w:val="006D323D"/>
    <w:rsid w:val="006D6CE7"/>
    <w:rsid w:val="006E5400"/>
    <w:rsid w:val="006E5F5C"/>
    <w:rsid w:val="006F0B87"/>
    <w:rsid w:val="006F42D8"/>
    <w:rsid w:val="006F5A19"/>
    <w:rsid w:val="006F694B"/>
    <w:rsid w:val="007044B8"/>
    <w:rsid w:val="007048DC"/>
    <w:rsid w:val="00706C99"/>
    <w:rsid w:val="00713FE0"/>
    <w:rsid w:val="00715ABB"/>
    <w:rsid w:val="00715F3D"/>
    <w:rsid w:val="007254B6"/>
    <w:rsid w:val="0072701C"/>
    <w:rsid w:val="00730798"/>
    <w:rsid w:val="007311D0"/>
    <w:rsid w:val="007336C5"/>
    <w:rsid w:val="00734231"/>
    <w:rsid w:val="007359AB"/>
    <w:rsid w:val="00736FE0"/>
    <w:rsid w:val="00737020"/>
    <w:rsid w:val="00747427"/>
    <w:rsid w:val="00747912"/>
    <w:rsid w:val="007531BF"/>
    <w:rsid w:val="00753DAC"/>
    <w:rsid w:val="00756EA8"/>
    <w:rsid w:val="00767E0F"/>
    <w:rsid w:val="00775763"/>
    <w:rsid w:val="00775A17"/>
    <w:rsid w:val="00776A1C"/>
    <w:rsid w:val="007775F8"/>
    <w:rsid w:val="007842A3"/>
    <w:rsid w:val="0078567F"/>
    <w:rsid w:val="00791263"/>
    <w:rsid w:val="007937A5"/>
    <w:rsid w:val="007958C1"/>
    <w:rsid w:val="007A1FA2"/>
    <w:rsid w:val="007A23C7"/>
    <w:rsid w:val="007B28F4"/>
    <w:rsid w:val="007B3719"/>
    <w:rsid w:val="007B3FF5"/>
    <w:rsid w:val="007B4265"/>
    <w:rsid w:val="007C0E92"/>
    <w:rsid w:val="007C22E8"/>
    <w:rsid w:val="007C3712"/>
    <w:rsid w:val="007D0DF9"/>
    <w:rsid w:val="007D6A22"/>
    <w:rsid w:val="007D7D7E"/>
    <w:rsid w:val="007E0001"/>
    <w:rsid w:val="007E0C65"/>
    <w:rsid w:val="007E382D"/>
    <w:rsid w:val="007E3E97"/>
    <w:rsid w:val="007E55EE"/>
    <w:rsid w:val="007F14FA"/>
    <w:rsid w:val="007F4C73"/>
    <w:rsid w:val="007F5008"/>
    <w:rsid w:val="00805EDB"/>
    <w:rsid w:val="008101EE"/>
    <w:rsid w:val="00811BCD"/>
    <w:rsid w:val="00816F59"/>
    <w:rsid w:val="00822F9C"/>
    <w:rsid w:val="008255B7"/>
    <w:rsid w:val="00830087"/>
    <w:rsid w:val="0083032A"/>
    <w:rsid w:val="0083057A"/>
    <w:rsid w:val="00830817"/>
    <w:rsid w:val="0083082A"/>
    <w:rsid w:val="00830D7C"/>
    <w:rsid w:val="00831ED7"/>
    <w:rsid w:val="00836526"/>
    <w:rsid w:val="00836E06"/>
    <w:rsid w:val="00861A05"/>
    <w:rsid w:val="00863A99"/>
    <w:rsid w:val="008740C3"/>
    <w:rsid w:val="0087679F"/>
    <w:rsid w:val="0088251B"/>
    <w:rsid w:val="00882756"/>
    <w:rsid w:val="008829F0"/>
    <w:rsid w:val="00890A44"/>
    <w:rsid w:val="0089323F"/>
    <w:rsid w:val="0089565F"/>
    <w:rsid w:val="008A16F2"/>
    <w:rsid w:val="008A67D2"/>
    <w:rsid w:val="008B3DC8"/>
    <w:rsid w:val="008B610B"/>
    <w:rsid w:val="008B6B77"/>
    <w:rsid w:val="008C19E4"/>
    <w:rsid w:val="008C1B6D"/>
    <w:rsid w:val="008C281C"/>
    <w:rsid w:val="008C5865"/>
    <w:rsid w:val="008C5F9A"/>
    <w:rsid w:val="008D1FC0"/>
    <w:rsid w:val="008D2D02"/>
    <w:rsid w:val="008D6D96"/>
    <w:rsid w:val="008E19A1"/>
    <w:rsid w:val="008E61B2"/>
    <w:rsid w:val="008E65DD"/>
    <w:rsid w:val="008F0458"/>
    <w:rsid w:val="008F3A6F"/>
    <w:rsid w:val="008F4033"/>
    <w:rsid w:val="008F7AF6"/>
    <w:rsid w:val="00905A73"/>
    <w:rsid w:val="00907680"/>
    <w:rsid w:val="00907740"/>
    <w:rsid w:val="009124BC"/>
    <w:rsid w:val="00923C99"/>
    <w:rsid w:val="00924850"/>
    <w:rsid w:val="00924CAD"/>
    <w:rsid w:val="00927B9A"/>
    <w:rsid w:val="00930148"/>
    <w:rsid w:val="009322DF"/>
    <w:rsid w:val="00932740"/>
    <w:rsid w:val="00934796"/>
    <w:rsid w:val="00936A14"/>
    <w:rsid w:val="00936C46"/>
    <w:rsid w:val="00947C36"/>
    <w:rsid w:val="0095717E"/>
    <w:rsid w:val="009577FF"/>
    <w:rsid w:val="0096190F"/>
    <w:rsid w:val="00962094"/>
    <w:rsid w:val="00962CD4"/>
    <w:rsid w:val="00963B28"/>
    <w:rsid w:val="009667B5"/>
    <w:rsid w:val="0097176D"/>
    <w:rsid w:val="009717B1"/>
    <w:rsid w:val="00973317"/>
    <w:rsid w:val="0098054F"/>
    <w:rsid w:val="0098202D"/>
    <w:rsid w:val="009A2706"/>
    <w:rsid w:val="009A7DB5"/>
    <w:rsid w:val="009B543F"/>
    <w:rsid w:val="009C05B0"/>
    <w:rsid w:val="009C0E61"/>
    <w:rsid w:val="009C39D7"/>
    <w:rsid w:val="009C68A2"/>
    <w:rsid w:val="009D0705"/>
    <w:rsid w:val="009D2007"/>
    <w:rsid w:val="009D3681"/>
    <w:rsid w:val="009D5506"/>
    <w:rsid w:val="009E4084"/>
    <w:rsid w:val="009E4727"/>
    <w:rsid w:val="009F086E"/>
    <w:rsid w:val="009F2211"/>
    <w:rsid w:val="009F23E5"/>
    <w:rsid w:val="009F2A48"/>
    <w:rsid w:val="009F4604"/>
    <w:rsid w:val="009F4FBF"/>
    <w:rsid w:val="009F542C"/>
    <w:rsid w:val="009F6D8A"/>
    <w:rsid w:val="00A03FD1"/>
    <w:rsid w:val="00A126DA"/>
    <w:rsid w:val="00A13019"/>
    <w:rsid w:val="00A13A51"/>
    <w:rsid w:val="00A13BE8"/>
    <w:rsid w:val="00A16BD0"/>
    <w:rsid w:val="00A272B1"/>
    <w:rsid w:val="00A3348D"/>
    <w:rsid w:val="00A35FAE"/>
    <w:rsid w:val="00A3684D"/>
    <w:rsid w:val="00A36B6D"/>
    <w:rsid w:val="00A44A6E"/>
    <w:rsid w:val="00A4753A"/>
    <w:rsid w:val="00A5184D"/>
    <w:rsid w:val="00A55318"/>
    <w:rsid w:val="00A56265"/>
    <w:rsid w:val="00A65EE9"/>
    <w:rsid w:val="00A6682D"/>
    <w:rsid w:val="00A72AB9"/>
    <w:rsid w:val="00A72C87"/>
    <w:rsid w:val="00A75C7E"/>
    <w:rsid w:val="00A760FB"/>
    <w:rsid w:val="00A82B33"/>
    <w:rsid w:val="00A858F6"/>
    <w:rsid w:val="00A85B07"/>
    <w:rsid w:val="00A8651A"/>
    <w:rsid w:val="00A87AEB"/>
    <w:rsid w:val="00A92B88"/>
    <w:rsid w:val="00A94ACF"/>
    <w:rsid w:val="00AA0454"/>
    <w:rsid w:val="00AA452C"/>
    <w:rsid w:val="00AA66D6"/>
    <w:rsid w:val="00AB0283"/>
    <w:rsid w:val="00AB10DC"/>
    <w:rsid w:val="00AB192B"/>
    <w:rsid w:val="00AB210E"/>
    <w:rsid w:val="00AB47DA"/>
    <w:rsid w:val="00AC1E12"/>
    <w:rsid w:val="00AC1E2C"/>
    <w:rsid w:val="00AC33DB"/>
    <w:rsid w:val="00AC7471"/>
    <w:rsid w:val="00AD00C9"/>
    <w:rsid w:val="00AD324B"/>
    <w:rsid w:val="00AD6088"/>
    <w:rsid w:val="00AE0722"/>
    <w:rsid w:val="00AE2C35"/>
    <w:rsid w:val="00AF587F"/>
    <w:rsid w:val="00AF608C"/>
    <w:rsid w:val="00AF6AD5"/>
    <w:rsid w:val="00AF7229"/>
    <w:rsid w:val="00B005A7"/>
    <w:rsid w:val="00B059B8"/>
    <w:rsid w:val="00B13352"/>
    <w:rsid w:val="00B1537F"/>
    <w:rsid w:val="00B22ABD"/>
    <w:rsid w:val="00B24412"/>
    <w:rsid w:val="00B250C4"/>
    <w:rsid w:val="00B262CB"/>
    <w:rsid w:val="00B27C2F"/>
    <w:rsid w:val="00B31113"/>
    <w:rsid w:val="00B3188B"/>
    <w:rsid w:val="00B37945"/>
    <w:rsid w:val="00B416D2"/>
    <w:rsid w:val="00B41F59"/>
    <w:rsid w:val="00B440B4"/>
    <w:rsid w:val="00B51218"/>
    <w:rsid w:val="00B52F25"/>
    <w:rsid w:val="00B5766A"/>
    <w:rsid w:val="00B620BD"/>
    <w:rsid w:val="00B6680A"/>
    <w:rsid w:val="00B86E69"/>
    <w:rsid w:val="00B87220"/>
    <w:rsid w:val="00B93C51"/>
    <w:rsid w:val="00B9657D"/>
    <w:rsid w:val="00B97CD8"/>
    <w:rsid w:val="00BA1F0B"/>
    <w:rsid w:val="00BA6D06"/>
    <w:rsid w:val="00BB0C16"/>
    <w:rsid w:val="00BB1321"/>
    <w:rsid w:val="00BB1825"/>
    <w:rsid w:val="00BB2543"/>
    <w:rsid w:val="00BB3A9F"/>
    <w:rsid w:val="00BB48ED"/>
    <w:rsid w:val="00BB7464"/>
    <w:rsid w:val="00BC1BB1"/>
    <w:rsid w:val="00BC7674"/>
    <w:rsid w:val="00BC7C56"/>
    <w:rsid w:val="00BE3163"/>
    <w:rsid w:val="00BE6C42"/>
    <w:rsid w:val="00BF0459"/>
    <w:rsid w:val="00BF0638"/>
    <w:rsid w:val="00BF6679"/>
    <w:rsid w:val="00BF7B4F"/>
    <w:rsid w:val="00C033CE"/>
    <w:rsid w:val="00C0492C"/>
    <w:rsid w:val="00C05C37"/>
    <w:rsid w:val="00C125BA"/>
    <w:rsid w:val="00C14691"/>
    <w:rsid w:val="00C14916"/>
    <w:rsid w:val="00C14BE1"/>
    <w:rsid w:val="00C16A02"/>
    <w:rsid w:val="00C2092A"/>
    <w:rsid w:val="00C23BAC"/>
    <w:rsid w:val="00C25623"/>
    <w:rsid w:val="00C279E1"/>
    <w:rsid w:val="00C27A52"/>
    <w:rsid w:val="00C27C51"/>
    <w:rsid w:val="00C30E63"/>
    <w:rsid w:val="00C31D44"/>
    <w:rsid w:val="00C320AC"/>
    <w:rsid w:val="00C32CCB"/>
    <w:rsid w:val="00C400B6"/>
    <w:rsid w:val="00C4065A"/>
    <w:rsid w:val="00C4183D"/>
    <w:rsid w:val="00C42A2E"/>
    <w:rsid w:val="00C50555"/>
    <w:rsid w:val="00C524DC"/>
    <w:rsid w:val="00C54644"/>
    <w:rsid w:val="00C54788"/>
    <w:rsid w:val="00C62963"/>
    <w:rsid w:val="00C66D01"/>
    <w:rsid w:val="00C73E00"/>
    <w:rsid w:val="00C8172E"/>
    <w:rsid w:val="00C86CDB"/>
    <w:rsid w:val="00C86DA7"/>
    <w:rsid w:val="00C9086F"/>
    <w:rsid w:val="00C9168D"/>
    <w:rsid w:val="00C96482"/>
    <w:rsid w:val="00C97AFA"/>
    <w:rsid w:val="00CA6039"/>
    <w:rsid w:val="00CA75B3"/>
    <w:rsid w:val="00CB3C02"/>
    <w:rsid w:val="00CC02E5"/>
    <w:rsid w:val="00CC17D4"/>
    <w:rsid w:val="00CC3557"/>
    <w:rsid w:val="00CC3933"/>
    <w:rsid w:val="00CD05D2"/>
    <w:rsid w:val="00CD32DD"/>
    <w:rsid w:val="00CD36B2"/>
    <w:rsid w:val="00CD47F0"/>
    <w:rsid w:val="00CD4B1F"/>
    <w:rsid w:val="00CD5005"/>
    <w:rsid w:val="00CD7DC7"/>
    <w:rsid w:val="00CE0ABE"/>
    <w:rsid w:val="00CE4D28"/>
    <w:rsid w:val="00CE74C8"/>
    <w:rsid w:val="00CE759D"/>
    <w:rsid w:val="00CF01BF"/>
    <w:rsid w:val="00CF3964"/>
    <w:rsid w:val="00CF5311"/>
    <w:rsid w:val="00CF616E"/>
    <w:rsid w:val="00D109EB"/>
    <w:rsid w:val="00D112E4"/>
    <w:rsid w:val="00D12A78"/>
    <w:rsid w:val="00D15197"/>
    <w:rsid w:val="00D2269E"/>
    <w:rsid w:val="00D2315B"/>
    <w:rsid w:val="00D2385D"/>
    <w:rsid w:val="00D27B78"/>
    <w:rsid w:val="00D34550"/>
    <w:rsid w:val="00D349D8"/>
    <w:rsid w:val="00D41ACB"/>
    <w:rsid w:val="00D464A2"/>
    <w:rsid w:val="00D545DF"/>
    <w:rsid w:val="00D579FC"/>
    <w:rsid w:val="00D57B82"/>
    <w:rsid w:val="00D6346B"/>
    <w:rsid w:val="00D66363"/>
    <w:rsid w:val="00D7195A"/>
    <w:rsid w:val="00D72640"/>
    <w:rsid w:val="00D733D3"/>
    <w:rsid w:val="00D73E2D"/>
    <w:rsid w:val="00D80167"/>
    <w:rsid w:val="00D81C9E"/>
    <w:rsid w:val="00D82AD2"/>
    <w:rsid w:val="00D84300"/>
    <w:rsid w:val="00D86B32"/>
    <w:rsid w:val="00D90194"/>
    <w:rsid w:val="00D903F1"/>
    <w:rsid w:val="00D95D30"/>
    <w:rsid w:val="00D9631D"/>
    <w:rsid w:val="00D966E2"/>
    <w:rsid w:val="00DA0866"/>
    <w:rsid w:val="00DA4283"/>
    <w:rsid w:val="00DA5B8F"/>
    <w:rsid w:val="00DA7863"/>
    <w:rsid w:val="00DB0014"/>
    <w:rsid w:val="00DB0F42"/>
    <w:rsid w:val="00DC79BD"/>
    <w:rsid w:val="00DD113A"/>
    <w:rsid w:val="00DE6378"/>
    <w:rsid w:val="00DF0BDE"/>
    <w:rsid w:val="00DF1564"/>
    <w:rsid w:val="00DF575D"/>
    <w:rsid w:val="00DF6315"/>
    <w:rsid w:val="00E02A09"/>
    <w:rsid w:val="00E06845"/>
    <w:rsid w:val="00E07385"/>
    <w:rsid w:val="00E113A3"/>
    <w:rsid w:val="00E1411E"/>
    <w:rsid w:val="00E14B56"/>
    <w:rsid w:val="00E206D0"/>
    <w:rsid w:val="00E208B6"/>
    <w:rsid w:val="00E22B77"/>
    <w:rsid w:val="00E2342F"/>
    <w:rsid w:val="00E23836"/>
    <w:rsid w:val="00E23DC4"/>
    <w:rsid w:val="00E26A2E"/>
    <w:rsid w:val="00E279E8"/>
    <w:rsid w:val="00E32AF3"/>
    <w:rsid w:val="00E45EC7"/>
    <w:rsid w:val="00E47DDD"/>
    <w:rsid w:val="00E530C3"/>
    <w:rsid w:val="00E55440"/>
    <w:rsid w:val="00E57322"/>
    <w:rsid w:val="00E67990"/>
    <w:rsid w:val="00E80008"/>
    <w:rsid w:val="00E82571"/>
    <w:rsid w:val="00E8269E"/>
    <w:rsid w:val="00E86277"/>
    <w:rsid w:val="00E9681E"/>
    <w:rsid w:val="00EA0B72"/>
    <w:rsid w:val="00EA21D1"/>
    <w:rsid w:val="00EA3519"/>
    <w:rsid w:val="00EA401D"/>
    <w:rsid w:val="00EA6035"/>
    <w:rsid w:val="00EA734D"/>
    <w:rsid w:val="00EA7F60"/>
    <w:rsid w:val="00EB4040"/>
    <w:rsid w:val="00EB6471"/>
    <w:rsid w:val="00EC137F"/>
    <w:rsid w:val="00EC1F57"/>
    <w:rsid w:val="00EC2CB7"/>
    <w:rsid w:val="00EC4318"/>
    <w:rsid w:val="00EC7E67"/>
    <w:rsid w:val="00ED1A4B"/>
    <w:rsid w:val="00ED415E"/>
    <w:rsid w:val="00ED5DD4"/>
    <w:rsid w:val="00EE3188"/>
    <w:rsid w:val="00EE32B6"/>
    <w:rsid w:val="00EE5209"/>
    <w:rsid w:val="00EF2F45"/>
    <w:rsid w:val="00EF5969"/>
    <w:rsid w:val="00F03DC8"/>
    <w:rsid w:val="00F053E5"/>
    <w:rsid w:val="00F079EE"/>
    <w:rsid w:val="00F07B56"/>
    <w:rsid w:val="00F110D1"/>
    <w:rsid w:val="00F11200"/>
    <w:rsid w:val="00F1545E"/>
    <w:rsid w:val="00F20C48"/>
    <w:rsid w:val="00F24861"/>
    <w:rsid w:val="00F25260"/>
    <w:rsid w:val="00F25A3A"/>
    <w:rsid w:val="00F34434"/>
    <w:rsid w:val="00F46A91"/>
    <w:rsid w:val="00F51A70"/>
    <w:rsid w:val="00F52BF4"/>
    <w:rsid w:val="00F54D56"/>
    <w:rsid w:val="00F57458"/>
    <w:rsid w:val="00F5789F"/>
    <w:rsid w:val="00F6605F"/>
    <w:rsid w:val="00F665E0"/>
    <w:rsid w:val="00F67387"/>
    <w:rsid w:val="00F67631"/>
    <w:rsid w:val="00F67B1E"/>
    <w:rsid w:val="00F67D3D"/>
    <w:rsid w:val="00F76CAD"/>
    <w:rsid w:val="00F85135"/>
    <w:rsid w:val="00F92F51"/>
    <w:rsid w:val="00F94E8F"/>
    <w:rsid w:val="00F967B6"/>
    <w:rsid w:val="00FB082D"/>
    <w:rsid w:val="00FB4D8B"/>
    <w:rsid w:val="00FB64E6"/>
    <w:rsid w:val="00FC17EF"/>
    <w:rsid w:val="00FC22E0"/>
    <w:rsid w:val="00FC5B07"/>
    <w:rsid w:val="00FD325F"/>
    <w:rsid w:val="00FD4E72"/>
    <w:rsid w:val="00FD5107"/>
    <w:rsid w:val="00FD6824"/>
    <w:rsid w:val="00FD6C86"/>
    <w:rsid w:val="00FF4D0C"/>
    <w:rsid w:val="00FF5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6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E4084"/>
    <w:rPr>
      <w:rFonts w:ascii="Times New Roman" w:eastAsia="华文楷体" w:hAnsi="Times New Roman" w:cs="Times New Roman"/>
      <w:kern w:val="0"/>
      <w:sz w:val="22"/>
      <w:lang w:val="en-GB" w:eastAsia="en-US"/>
    </w:rPr>
  </w:style>
  <w:style w:type="paragraph" w:styleId="1">
    <w:name w:val="heading 1"/>
    <w:next w:val="a1"/>
    <w:link w:val="1Char"/>
    <w:autoRedefine/>
    <w:uiPriority w:val="9"/>
    <w:qFormat/>
    <w:rsid w:val="009E4084"/>
    <w:pPr>
      <w:pageBreakBefore/>
      <w:spacing w:beforeLines="100" w:before="240" w:afterLines="50" w:after="120"/>
      <w:outlineLvl w:val="0"/>
    </w:pPr>
    <w:rPr>
      <w:rFonts w:ascii="彩虹黑体" w:eastAsia="彩虹黑体" w:hAnsi="Arial" w:cs="Times New Roman"/>
      <w:kern w:val="0"/>
      <w:sz w:val="30"/>
      <w:szCs w:val="3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9E4084"/>
    <w:rPr>
      <w:rFonts w:ascii="彩虹黑体" w:eastAsia="彩虹黑体" w:hAnsi="Arial" w:cs="Times New Roman"/>
      <w:kern w:val="0"/>
      <w:sz w:val="30"/>
      <w:szCs w:val="30"/>
    </w:rPr>
  </w:style>
  <w:style w:type="paragraph" w:styleId="a">
    <w:name w:val="List Bullet"/>
    <w:basedOn w:val="a1"/>
    <w:uiPriority w:val="99"/>
    <w:rsid w:val="009E4084"/>
    <w:pPr>
      <w:numPr>
        <w:numId w:val="1"/>
      </w:numPr>
      <w:tabs>
        <w:tab w:val="clear" w:pos="5557"/>
        <w:tab w:val="num" w:pos="360"/>
      </w:tabs>
      <w:spacing w:before="130" w:after="130"/>
      <w:ind w:left="0" w:firstLine="0"/>
      <w:jc w:val="both"/>
    </w:pPr>
    <w:rPr>
      <w:rFonts w:ascii="Tms Rmn" w:hAnsi="Tms Rmn"/>
    </w:rPr>
  </w:style>
  <w:style w:type="paragraph" w:styleId="a1">
    <w:name w:val="Body Text"/>
    <w:basedOn w:val="a0"/>
    <w:link w:val="Char"/>
    <w:uiPriority w:val="99"/>
    <w:semiHidden/>
    <w:unhideWhenUsed/>
    <w:rsid w:val="009E4084"/>
    <w:pPr>
      <w:spacing w:after="120"/>
    </w:pPr>
  </w:style>
  <w:style w:type="character" w:customStyle="1" w:styleId="Char">
    <w:name w:val="正文文本 Char"/>
    <w:basedOn w:val="a2"/>
    <w:link w:val="a1"/>
    <w:uiPriority w:val="99"/>
    <w:semiHidden/>
    <w:rsid w:val="009E4084"/>
    <w:rPr>
      <w:rFonts w:ascii="Times New Roman" w:eastAsia="华文楷体" w:hAnsi="Times New Roman" w:cs="Times New Roman"/>
      <w:kern w:val="0"/>
      <w:sz w:val="22"/>
      <w:lang w:val="en-GB" w:eastAsia="en-US"/>
    </w:rPr>
  </w:style>
  <w:style w:type="paragraph" w:styleId="a5">
    <w:name w:val="header"/>
    <w:basedOn w:val="a0"/>
    <w:link w:val="Char0"/>
    <w:uiPriority w:val="99"/>
    <w:unhideWhenUsed/>
    <w:rsid w:val="005C5D4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2"/>
    <w:link w:val="a5"/>
    <w:uiPriority w:val="99"/>
    <w:rsid w:val="005C5D4D"/>
    <w:rPr>
      <w:rFonts w:ascii="Times New Roman" w:eastAsia="华文楷体" w:hAnsi="Times New Roman" w:cs="Times New Roman"/>
      <w:kern w:val="0"/>
      <w:sz w:val="18"/>
      <w:szCs w:val="18"/>
      <w:lang w:val="en-GB" w:eastAsia="en-US"/>
    </w:rPr>
  </w:style>
  <w:style w:type="paragraph" w:styleId="a6">
    <w:name w:val="footer"/>
    <w:basedOn w:val="a0"/>
    <w:link w:val="Char1"/>
    <w:uiPriority w:val="99"/>
    <w:unhideWhenUsed/>
    <w:rsid w:val="005C5D4D"/>
    <w:pPr>
      <w:tabs>
        <w:tab w:val="center" w:pos="4153"/>
        <w:tab w:val="right" w:pos="8306"/>
      </w:tabs>
      <w:snapToGrid w:val="0"/>
    </w:pPr>
    <w:rPr>
      <w:sz w:val="18"/>
      <w:szCs w:val="18"/>
    </w:rPr>
  </w:style>
  <w:style w:type="character" w:customStyle="1" w:styleId="Char1">
    <w:name w:val="页脚 Char"/>
    <w:basedOn w:val="a2"/>
    <w:link w:val="a6"/>
    <w:uiPriority w:val="99"/>
    <w:rsid w:val="005C5D4D"/>
    <w:rPr>
      <w:rFonts w:ascii="Times New Roman" w:eastAsia="华文楷体" w:hAnsi="Times New Roman" w:cs="Times New Roman"/>
      <w:kern w:val="0"/>
      <w:sz w:val="18"/>
      <w:szCs w:val="18"/>
      <w:lang w:val="en-GB" w:eastAsia="en-US"/>
    </w:rPr>
  </w:style>
  <w:style w:type="paragraph" w:styleId="a7">
    <w:name w:val="Balloon Text"/>
    <w:basedOn w:val="a0"/>
    <w:link w:val="Char2"/>
    <w:uiPriority w:val="99"/>
    <w:semiHidden/>
    <w:unhideWhenUsed/>
    <w:rsid w:val="00A272B1"/>
    <w:rPr>
      <w:sz w:val="18"/>
      <w:szCs w:val="18"/>
    </w:rPr>
  </w:style>
  <w:style w:type="character" w:customStyle="1" w:styleId="Char2">
    <w:name w:val="批注框文本 Char"/>
    <w:basedOn w:val="a2"/>
    <w:link w:val="a7"/>
    <w:uiPriority w:val="99"/>
    <w:semiHidden/>
    <w:rsid w:val="00A272B1"/>
    <w:rPr>
      <w:rFonts w:ascii="Times New Roman" w:eastAsia="华文楷体" w:hAnsi="Times New Roman" w:cs="Times New Roman"/>
      <w:kern w:val="0"/>
      <w:sz w:val="18"/>
      <w:szCs w:val="18"/>
      <w:lang w:val="en-GB" w:eastAsia="en-US"/>
    </w:rPr>
  </w:style>
  <w:style w:type="character" w:styleId="a8">
    <w:name w:val="annotation reference"/>
    <w:basedOn w:val="a2"/>
    <w:uiPriority w:val="99"/>
    <w:semiHidden/>
    <w:unhideWhenUsed/>
    <w:rsid w:val="006363DD"/>
    <w:rPr>
      <w:sz w:val="21"/>
      <w:szCs w:val="21"/>
    </w:rPr>
  </w:style>
  <w:style w:type="paragraph" w:styleId="a9">
    <w:name w:val="annotation text"/>
    <w:basedOn w:val="a0"/>
    <w:link w:val="Char3"/>
    <w:uiPriority w:val="99"/>
    <w:semiHidden/>
    <w:unhideWhenUsed/>
    <w:rsid w:val="006363DD"/>
  </w:style>
  <w:style w:type="character" w:customStyle="1" w:styleId="Char3">
    <w:name w:val="批注文字 Char"/>
    <w:basedOn w:val="a2"/>
    <w:link w:val="a9"/>
    <w:uiPriority w:val="99"/>
    <w:semiHidden/>
    <w:rsid w:val="006363DD"/>
    <w:rPr>
      <w:rFonts w:ascii="Times New Roman" w:eastAsia="华文楷体" w:hAnsi="Times New Roman" w:cs="Times New Roman"/>
      <w:kern w:val="0"/>
      <w:sz w:val="22"/>
      <w:lang w:val="en-GB" w:eastAsia="en-US"/>
    </w:rPr>
  </w:style>
  <w:style w:type="paragraph" w:styleId="aa">
    <w:name w:val="annotation subject"/>
    <w:basedOn w:val="a9"/>
    <w:next w:val="a9"/>
    <w:link w:val="Char4"/>
    <w:uiPriority w:val="99"/>
    <w:semiHidden/>
    <w:unhideWhenUsed/>
    <w:rsid w:val="006363DD"/>
    <w:rPr>
      <w:b/>
      <w:bCs/>
    </w:rPr>
  </w:style>
  <w:style w:type="character" w:customStyle="1" w:styleId="Char4">
    <w:name w:val="批注主题 Char"/>
    <w:basedOn w:val="Char3"/>
    <w:link w:val="aa"/>
    <w:uiPriority w:val="99"/>
    <w:semiHidden/>
    <w:rsid w:val="006363DD"/>
    <w:rPr>
      <w:rFonts w:ascii="Times New Roman" w:eastAsia="华文楷体" w:hAnsi="Times New Roman" w:cs="Times New Roman"/>
      <w:b/>
      <w:bCs/>
      <w:kern w:val="0"/>
      <w:sz w:val="22"/>
      <w:lang w:val="en-GB" w:eastAsia="en-US"/>
    </w:rPr>
  </w:style>
  <w:style w:type="character" w:styleId="ab">
    <w:name w:val="Hyperlink"/>
    <w:basedOn w:val="a2"/>
    <w:uiPriority w:val="99"/>
    <w:unhideWhenUsed/>
    <w:rsid w:val="00D80167"/>
    <w:rPr>
      <w:color w:val="0000FF" w:themeColor="hyperlink"/>
      <w:u w:val="single"/>
    </w:rPr>
  </w:style>
  <w:style w:type="paragraph" w:styleId="ac">
    <w:name w:val="No Spacing"/>
    <w:uiPriority w:val="1"/>
    <w:qFormat/>
    <w:rsid w:val="0095717E"/>
    <w:rPr>
      <w:rFonts w:ascii="Times New Roman" w:eastAsia="华文楷体" w:hAnsi="Times New Roman" w:cs="Times New Roman"/>
      <w:kern w:val="0"/>
      <w:sz w:val="22"/>
      <w:lang w:val="en-GB" w:eastAsia="en-US"/>
    </w:rPr>
  </w:style>
  <w:style w:type="paragraph" w:styleId="ad">
    <w:name w:val="Revision"/>
    <w:hidden/>
    <w:uiPriority w:val="99"/>
    <w:semiHidden/>
    <w:rsid w:val="00065F0C"/>
    <w:rPr>
      <w:rFonts w:ascii="Times New Roman" w:eastAsia="华文楷体" w:hAnsi="Times New Roman" w:cs="Times New Roman"/>
      <w:kern w:val="0"/>
      <w:sz w:val="22"/>
      <w:lang w:val="en-GB" w:eastAsia="en-US"/>
    </w:rPr>
  </w:style>
  <w:style w:type="paragraph" w:styleId="ae">
    <w:name w:val="Normal (Web)"/>
    <w:basedOn w:val="a0"/>
    <w:uiPriority w:val="99"/>
    <w:semiHidden/>
    <w:unhideWhenUsed/>
    <w:rsid w:val="00BF0459"/>
    <w:pPr>
      <w:spacing w:before="100" w:beforeAutospacing="1" w:after="100" w:afterAutospacing="1"/>
    </w:pPr>
    <w:rPr>
      <w:rFonts w:ascii="宋体" w:eastAsia="宋体" w:hAnsi="宋体" w:cs="宋体"/>
      <w:sz w:val="24"/>
      <w:szCs w:val="24"/>
      <w:lang w:val="en-US" w:eastAsia="zh-CN"/>
    </w:rPr>
  </w:style>
  <w:style w:type="paragraph" w:styleId="HTML">
    <w:name w:val="HTML Preformatted"/>
    <w:basedOn w:val="a0"/>
    <w:link w:val="HTMLChar"/>
    <w:uiPriority w:val="99"/>
    <w:semiHidden/>
    <w:unhideWhenUsed/>
    <w:rsid w:val="004424CF"/>
    <w:rPr>
      <w:rFonts w:ascii="Consolas" w:hAnsi="Consolas"/>
      <w:sz w:val="20"/>
      <w:szCs w:val="20"/>
    </w:rPr>
  </w:style>
  <w:style w:type="character" w:customStyle="1" w:styleId="HTMLChar">
    <w:name w:val="HTML 预设格式 Char"/>
    <w:basedOn w:val="a2"/>
    <w:link w:val="HTML"/>
    <w:uiPriority w:val="99"/>
    <w:semiHidden/>
    <w:rsid w:val="004424CF"/>
    <w:rPr>
      <w:rFonts w:ascii="Consolas" w:eastAsia="华文楷体" w:hAnsi="Consolas" w:cs="Times New Roman"/>
      <w:kern w:val="0"/>
      <w:sz w:val="20"/>
      <w:szCs w:val="20"/>
      <w:lang w:val="en-GB" w:eastAsia="en-US"/>
    </w:rPr>
  </w:style>
  <w:style w:type="paragraph" w:styleId="af">
    <w:name w:val="Title"/>
    <w:basedOn w:val="a0"/>
    <w:next w:val="a0"/>
    <w:link w:val="Char5"/>
    <w:qFormat/>
    <w:rsid w:val="00462C8E"/>
    <w:pPr>
      <w:spacing w:before="240" w:after="60" w:line="276" w:lineRule="auto"/>
      <w:jc w:val="center"/>
      <w:outlineLvl w:val="0"/>
    </w:pPr>
    <w:rPr>
      <w:rFonts w:asciiTheme="majorHAnsi" w:eastAsia="宋体" w:hAnsiTheme="majorHAnsi" w:cstheme="majorBidi"/>
      <w:b/>
      <w:bCs/>
      <w:sz w:val="32"/>
      <w:szCs w:val="32"/>
      <w:lang w:val="en-US" w:eastAsia="zh-CN"/>
    </w:rPr>
  </w:style>
  <w:style w:type="character" w:customStyle="1" w:styleId="Char5">
    <w:name w:val="标题 Char"/>
    <w:basedOn w:val="a2"/>
    <w:link w:val="af"/>
    <w:rsid w:val="00462C8E"/>
    <w:rPr>
      <w:rFonts w:asciiTheme="majorHAnsi" w:eastAsia="宋体" w:hAnsiTheme="majorHAnsi" w:cstheme="majorBidi"/>
      <w:b/>
      <w:bCs/>
      <w:kern w:val="0"/>
      <w:sz w:val="32"/>
      <w:szCs w:val="32"/>
    </w:rPr>
  </w:style>
  <w:style w:type="paragraph" w:styleId="af0">
    <w:name w:val="footnote text"/>
    <w:basedOn w:val="a0"/>
    <w:link w:val="Char6"/>
    <w:uiPriority w:val="99"/>
    <w:rsid w:val="00462C8E"/>
    <w:pPr>
      <w:overflowPunct w:val="0"/>
      <w:autoSpaceDE w:val="0"/>
      <w:autoSpaceDN w:val="0"/>
      <w:adjustRightInd w:val="0"/>
      <w:snapToGrid w:val="0"/>
      <w:spacing w:after="120"/>
      <w:textAlignment w:val="baseline"/>
    </w:pPr>
    <w:rPr>
      <w:rFonts w:ascii="Arial" w:eastAsia="宋体" w:hAnsi="Arial"/>
      <w:sz w:val="18"/>
      <w:szCs w:val="18"/>
      <w:lang w:val="x-none"/>
    </w:rPr>
  </w:style>
  <w:style w:type="character" w:customStyle="1" w:styleId="Char6">
    <w:name w:val="脚注文本 Char"/>
    <w:basedOn w:val="a2"/>
    <w:link w:val="af0"/>
    <w:uiPriority w:val="99"/>
    <w:rsid w:val="00462C8E"/>
    <w:rPr>
      <w:rFonts w:ascii="Arial" w:eastAsia="宋体" w:hAnsi="Arial" w:cs="Times New Roman"/>
      <w:kern w:val="0"/>
      <w:sz w:val="18"/>
      <w:szCs w:val="18"/>
      <w:lang w:val="x-none" w:eastAsia="en-US"/>
    </w:rPr>
  </w:style>
  <w:style w:type="character" w:styleId="af1">
    <w:name w:val="footnote reference"/>
    <w:uiPriority w:val="99"/>
    <w:rsid w:val="00462C8E"/>
    <w:rPr>
      <w:vertAlign w:val="superscript"/>
    </w:rPr>
  </w:style>
  <w:style w:type="paragraph" w:styleId="af2">
    <w:name w:val="List Paragraph"/>
    <w:basedOn w:val="a0"/>
    <w:uiPriority w:val="34"/>
    <w:qFormat/>
    <w:rsid w:val="00657C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E4084"/>
    <w:rPr>
      <w:rFonts w:ascii="Times New Roman" w:eastAsia="华文楷体" w:hAnsi="Times New Roman" w:cs="Times New Roman"/>
      <w:kern w:val="0"/>
      <w:sz w:val="22"/>
      <w:lang w:val="en-GB" w:eastAsia="en-US"/>
    </w:rPr>
  </w:style>
  <w:style w:type="paragraph" w:styleId="1">
    <w:name w:val="heading 1"/>
    <w:next w:val="a1"/>
    <w:link w:val="1Char"/>
    <w:autoRedefine/>
    <w:uiPriority w:val="9"/>
    <w:qFormat/>
    <w:rsid w:val="009E4084"/>
    <w:pPr>
      <w:pageBreakBefore/>
      <w:spacing w:beforeLines="100" w:before="240" w:afterLines="50" w:after="120"/>
      <w:outlineLvl w:val="0"/>
    </w:pPr>
    <w:rPr>
      <w:rFonts w:ascii="彩虹黑体" w:eastAsia="彩虹黑体" w:hAnsi="Arial" w:cs="Times New Roman"/>
      <w:kern w:val="0"/>
      <w:sz w:val="30"/>
      <w:szCs w:val="3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9E4084"/>
    <w:rPr>
      <w:rFonts w:ascii="彩虹黑体" w:eastAsia="彩虹黑体" w:hAnsi="Arial" w:cs="Times New Roman"/>
      <w:kern w:val="0"/>
      <w:sz w:val="30"/>
      <w:szCs w:val="30"/>
    </w:rPr>
  </w:style>
  <w:style w:type="paragraph" w:styleId="a">
    <w:name w:val="List Bullet"/>
    <w:basedOn w:val="a1"/>
    <w:uiPriority w:val="99"/>
    <w:rsid w:val="009E4084"/>
    <w:pPr>
      <w:numPr>
        <w:numId w:val="1"/>
      </w:numPr>
      <w:tabs>
        <w:tab w:val="clear" w:pos="5557"/>
        <w:tab w:val="num" w:pos="360"/>
      </w:tabs>
      <w:spacing w:before="130" w:after="130"/>
      <w:ind w:left="0" w:firstLine="0"/>
      <w:jc w:val="both"/>
    </w:pPr>
    <w:rPr>
      <w:rFonts w:ascii="Tms Rmn" w:hAnsi="Tms Rmn"/>
    </w:rPr>
  </w:style>
  <w:style w:type="paragraph" w:styleId="a1">
    <w:name w:val="Body Text"/>
    <w:basedOn w:val="a0"/>
    <w:link w:val="Char"/>
    <w:uiPriority w:val="99"/>
    <w:semiHidden/>
    <w:unhideWhenUsed/>
    <w:rsid w:val="009E4084"/>
    <w:pPr>
      <w:spacing w:after="120"/>
    </w:pPr>
  </w:style>
  <w:style w:type="character" w:customStyle="1" w:styleId="Char">
    <w:name w:val="正文文本 Char"/>
    <w:basedOn w:val="a2"/>
    <w:link w:val="a1"/>
    <w:uiPriority w:val="99"/>
    <w:semiHidden/>
    <w:rsid w:val="009E4084"/>
    <w:rPr>
      <w:rFonts w:ascii="Times New Roman" w:eastAsia="华文楷体" w:hAnsi="Times New Roman" w:cs="Times New Roman"/>
      <w:kern w:val="0"/>
      <w:sz w:val="22"/>
      <w:lang w:val="en-GB" w:eastAsia="en-US"/>
    </w:rPr>
  </w:style>
  <w:style w:type="paragraph" w:styleId="a5">
    <w:name w:val="header"/>
    <w:basedOn w:val="a0"/>
    <w:link w:val="Char0"/>
    <w:uiPriority w:val="99"/>
    <w:unhideWhenUsed/>
    <w:rsid w:val="005C5D4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2"/>
    <w:link w:val="a5"/>
    <w:uiPriority w:val="99"/>
    <w:rsid w:val="005C5D4D"/>
    <w:rPr>
      <w:rFonts w:ascii="Times New Roman" w:eastAsia="华文楷体" w:hAnsi="Times New Roman" w:cs="Times New Roman"/>
      <w:kern w:val="0"/>
      <w:sz w:val="18"/>
      <w:szCs w:val="18"/>
      <w:lang w:val="en-GB" w:eastAsia="en-US"/>
    </w:rPr>
  </w:style>
  <w:style w:type="paragraph" w:styleId="a6">
    <w:name w:val="footer"/>
    <w:basedOn w:val="a0"/>
    <w:link w:val="Char1"/>
    <w:uiPriority w:val="99"/>
    <w:unhideWhenUsed/>
    <w:rsid w:val="005C5D4D"/>
    <w:pPr>
      <w:tabs>
        <w:tab w:val="center" w:pos="4153"/>
        <w:tab w:val="right" w:pos="8306"/>
      </w:tabs>
      <w:snapToGrid w:val="0"/>
    </w:pPr>
    <w:rPr>
      <w:sz w:val="18"/>
      <w:szCs w:val="18"/>
    </w:rPr>
  </w:style>
  <w:style w:type="character" w:customStyle="1" w:styleId="Char1">
    <w:name w:val="页脚 Char"/>
    <w:basedOn w:val="a2"/>
    <w:link w:val="a6"/>
    <w:uiPriority w:val="99"/>
    <w:rsid w:val="005C5D4D"/>
    <w:rPr>
      <w:rFonts w:ascii="Times New Roman" w:eastAsia="华文楷体" w:hAnsi="Times New Roman" w:cs="Times New Roman"/>
      <w:kern w:val="0"/>
      <w:sz w:val="18"/>
      <w:szCs w:val="18"/>
      <w:lang w:val="en-GB" w:eastAsia="en-US"/>
    </w:rPr>
  </w:style>
  <w:style w:type="paragraph" w:styleId="a7">
    <w:name w:val="Balloon Text"/>
    <w:basedOn w:val="a0"/>
    <w:link w:val="Char2"/>
    <w:uiPriority w:val="99"/>
    <w:semiHidden/>
    <w:unhideWhenUsed/>
    <w:rsid w:val="00A272B1"/>
    <w:rPr>
      <w:sz w:val="18"/>
      <w:szCs w:val="18"/>
    </w:rPr>
  </w:style>
  <w:style w:type="character" w:customStyle="1" w:styleId="Char2">
    <w:name w:val="批注框文本 Char"/>
    <w:basedOn w:val="a2"/>
    <w:link w:val="a7"/>
    <w:uiPriority w:val="99"/>
    <w:semiHidden/>
    <w:rsid w:val="00A272B1"/>
    <w:rPr>
      <w:rFonts w:ascii="Times New Roman" w:eastAsia="华文楷体" w:hAnsi="Times New Roman" w:cs="Times New Roman"/>
      <w:kern w:val="0"/>
      <w:sz w:val="18"/>
      <w:szCs w:val="18"/>
      <w:lang w:val="en-GB" w:eastAsia="en-US"/>
    </w:rPr>
  </w:style>
  <w:style w:type="character" w:styleId="a8">
    <w:name w:val="annotation reference"/>
    <w:basedOn w:val="a2"/>
    <w:uiPriority w:val="99"/>
    <w:semiHidden/>
    <w:unhideWhenUsed/>
    <w:rsid w:val="006363DD"/>
    <w:rPr>
      <w:sz w:val="21"/>
      <w:szCs w:val="21"/>
    </w:rPr>
  </w:style>
  <w:style w:type="paragraph" w:styleId="a9">
    <w:name w:val="annotation text"/>
    <w:basedOn w:val="a0"/>
    <w:link w:val="Char3"/>
    <w:uiPriority w:val="99"/>
    <w:semiHidden/>
    <w:unhideWhenUsed/>
    <w:rsid w:val="006363DD"/>
  </w:style>
  <w:style w:type="character" w:customStyle="1" w:styleId="Char3">
    <w:name w:val="批注文字 Char"/>
    <w:basedOn w:val="a2"/>
    <w:link w:val="a9"/>
    <w:uiPriority w:val="99"/>
    <w:semiHidden/>
    <w:rsid w:val="006363DD"/>
    <w:rPr>
      <w:rFonts w:ascii="Times New Roman" w:eastAsia="华文楷体" w:hAnsi="Times New Roman" w:cs="Times New Roman"/>
      <w:kern w:val="0"/>
      <w:sz w:val="22"/>
      <w:lang w:val="en-GB" w:eastAsia="en-US"/>
    </w:rPr>
  </w:style>
  <w:style w:type="paragraph" w:styleId="aa">
    <w:name w:val="annotation subject"/>
    <w:basedOn w:val="a9"/>
    <w:next w:val="a9"/>
    <w:link w:val="Char4"/>
    <w:uiPriority w:val="99"/>
    <w:semiHidden/>
    <w:unhideWhenUsed/>
    <w:rsid w:val="006363DD"/>
    <w:rPr>
      <w:b/>
      <w:bCs/>
    </w:rPr>
  </w:style>
  <w:style w:type="character" w:customStyle="1" w:styleId="Char4">
    <w:name w:val="批注主题 Char"/>
    <w:basedOn w:val="Char3"/>
    <w:link w:val="aa"/>
    <w:uiPriority w:val="99"/>
    <w:semiHidden/>
    <w:rsid w:val="006363DD"/>
    <w:rPr>
      <w:rFonts w:ascii="Times New Roman" w:eastAsia="华文楷体" w:hAnsi="Times New Roman" w:cs="Times New Roman"/>
      <w:b/>
      <w:bCs/>
      <w:kern w:val="0"/>
      <w:sz w:val="22"/>
      <w:lang w:val="en-GB" w:eastAsia="en-US"/>
    </w:rPr>
  </w:style>
  <w:style w:type="character" w:styleId="ab">
    <w:name w:val="Hyperlink"/>
    <w:basedOn w:val="a2"/>
    <w:uiPriority w:val="99"/>
    <w:unhideWhenUsed/>
    <w:rsid w:val="00D80167"/>
    <w:rPr>
      <w:color w:val="0000FF" w:themeColor="hyperlink"/>
      <w:u w:val="single"/>
    </w:rPr>
  </w:style>
  <w:style w:type="paragraph" w:styleId="ac">
    <w:name w:val="No Spacing"/>
    <w:uiPriority w:val="1"/>
    <w:qFormat/>
    <w:rsid w:val="0095717E"/>
    <w:rPr>
      <w:rFonts w:ascii="Times New Roman" w:eastAsia="华文楷体" w:hAnsi="Times New Roman" w:cs="Times New Roman"/>
      <w:kern w:val="0"/>
      <w:sz w:val="22"/>
      <w:lang w:val="en-GB" w:eastAsia="en-US"/>
    </w:rPr>
  </w:style>
  <w:style w:type="paragraph" w:styleId="ad">
    <w:name w:val="Revision"/>
    <w:hidden/>
    <w:uiPriority w:val="99"/>
    <w:semiHidden/>
    <w:rsid w:val="00065F0C"/>
    <w:rPr>
      <w:rFonts w:ascii="Times New Roman" w:eastAsia="华文楷体" w:hAnsi="Times New Roman" w:cs="Times New Roman"/>
      <w:kern w:val="0"/>
      <w:sz w:val="22"/>
      <w:lang w:val="en-GB" w:eastAsia="en-US"/>
    </w:rPr>
  </w:style>
  <w:style w:type="paragraph" w:styleId="ae">
    <w:name w:val="Normal (Web)"/>
    <w:basedOn w:val="a0"/>
    <w:uiPriority w:val="99"/>
    <w:semiHidden/>
    <w:unhideWhenUsed/>
    <w:rsid w:val="00BF0459"/>
    <w:pPr>
      <w:spacing w:before="100" w:beforeAutospacing="1" w:after="100" w:afterAutospacing="1"/>
    </w:pPr>
    <w:rPr>
      <w:rFonts w:ascii="宋体" w:eastAsia="宋体" w:hAnsi="宋体" w:cs="宋体"/>
      <w:sz w:val="24"/>
      <w:szCs w:val="24"/>
      <w:lang w:val="en-US" w:eastAsia="zh-CN"/>
    </w:rPr>
  </w:style>
  <w:style w:type="paragraph" w:styleId="HTML">
    <w:name w:val="HTML Preformatted"/>
    <w:basedOn w:val="a0"/>
    <w:link w:val="HTMLChar"/>
    <w:uiPriority w:val="99"/>
    <w:semiHidden/>
    <w:unhideWhenUsed/>
    <w:rsid w:val="004424CF"/>
    <w:rPr>
      <w:rFonts w:ascii="Consolas" w:hAnsi="Consolas"/>
      <w:sz w:val="20"/>
      <w:szCs w:val="20"/>
    </w:rPr>
  </w:style>
  <w:style w:type="character" w:customStyle="1" w:styleId="HTMLChar">
    <w:name w:val="HTML 预设格式 Char"/>
    <w:basedOn w:val="a2"/>
    <w:link w:val="HTML"/>
    <w:uiPriority w:val="99"/>
    <w:semiHidden/>
    <w:rsid w:val="004424CF"/>
    <w:rPr>
      <w:rFonts w:ascii="Consolas" w:eastAsia="华文楷体" w:hAnsi="Consolas" w:cs="Times New Roman"/>
      <w:kern w:val="0"/>
      <w:sz w:val="20"/>
      <w:szCs w:val="20"/>
      <w:lang w:val="en-GB" w:eastAsia="en-US"/>
    </w:rPr>
  </w:style>
  <w:style w:type="paragraph" w:styleId="af">
    <w:name w:val="Title"/>
    <w:basedOn w:val="a0"/>
    <w:next w:val="a0"/>
    <w:link w:val="Char5"/>
    <w:qFormat/>
    <w:rsid w:val="00462C8E"/>
    <w:pPr>
      <w:spacing w:before="240" w:after="60" w:line="276" w:lineRule="auto"/>
      <w:jc w:val="center"/>
      <w:outlineLvl w:val="0"/>
    </w:pPr>
    <w:rPr>
      <w:rFonts w:asciiTheme="majorHAnsi" w:eastAsia="宋体" w:hAnsiTheme="majorHAnsi" w:cstheme="majorBidi"/>
      <w:b/>
      <w:bCs/>
      <w:sz w:val="32"/>
      <w:szCs w:val="32"/>
      <w:lang w:val="en-US" w:eastAsia="zh-CN"/>
    </w:rPr>
  </w:style>
  <w:style w:type="character" w:customStyle="1" w:styleId="Char5">
    <w:name w:val="标题 Char"/>
    <w:basedOn w:val="a2"/>
    <w:link w:val="af"/>
    <w:rsid w:val="00462C8E"/>
    <w:rPr>
      <w:rFonts w:asciiTheme="majorHAnsi" w:eastAsia="宋体" w:hAnsiTheme="majorHAnsi" w:cstheme="majorBidi"/>
      <w:b/>
      <w:bCs/>
      <w:kern w:val="0"/>
      <w:sz w:val="32"/>
      <w:szCs w:val="32"/>
    </w:rPr>
  </w:style>
  <w:style w:type="paragraph" w:styleId="af0">
    <w:name w:val="footnote text"/>
    <w:basedOn w:val="a0"/>
    <w:link w:val="Char6"/>
    <w:uiPriority w:val="99"/>
    <w:rsid w:val="00462C8E"/>
    <w:pPr>
      <w:overflowPunct w:val="0"/>
      <w:autoSpaceDE w:val="0"/>
      <w:autoSpaceDN w:val="0"/>
      <w:adjustRightInd w:val="0"/>
      <w:snapToGrid w:val="0"/>
      <w:spacing w:after="120"/>
      <w:textAlignment w:val="baseline"/>
    </w:pPr>
    <w:rPr>
      <w:rFonts w:ascii="Arial" w:eastAsia="宋体" w:hAnsi="Arial"/>
      <w:sz w:val="18"/>
      <w:szCs w:val="18"/>
      <w:lang w:val="x-none"/>
    </w:rPr>
  </w:style>
  <w:style w:type="character" w:customStyle="1" w:styleId="Char6">
    <w:name w:val="脚注文本 Char"/>
    <w:basedOn w:val="a2"/>
    <w:link w:val="af0"/>
    <w:uiPriority w:val="99"/>
    <w:rsid w:val="00462C8E"/>
    <w:rPr>
      <w:rFonts w:ascii="Arial" w:eastAsia="宋体" w:hAnsi="Arial" w:cs="Times New Roman"/>
      <w:kern w:val="0"/>
      <w:sz w:val="18"/>
      <w:szCs w:val="18"/>
      <w:lang w:val="x-none" w:eastAsia="en-US"/>
    </w:rPr>
  </w:style>
  <w:style w:type="character" w:styleId="af1">
    <w:name w:val="footnote reference"/>
    <w:uiPriority w:val="99"/>
    <w:rsid w:val="00462C8E"/>
    <w:rPr>
      <w:vertAlign w:val="superscript"/>
    </w:rPr>
  </w:style>
  <w:style w:type="paragraph" w:styleId="af2">
    <w:name w:val="List Paragraph"/>
    <w:basedOn w:val="a0"/>
    <w:uiPriority w:val="34"/>
    <w:qFormat/>
    <w:rsid w:val="00657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60917">
      <w:bodyDiv w:val="1"/>
      <w:marLeft w:val="0"/>
      <w:marRight w:val="0"/>
      <w:marTop w:val="0"/>
      <w:marBottom w:val="0"/>
      <w:divBdr>
        <w:top w:val="none" w:sz="0" w:space="0" w:color="auto"/>
        <w:left w:val="none" w:sz="0" w:space="0" w:color="auto"/>
        <w:bottom w:val="none" w:sz="0" w:space="0" w:color="auto"/>
        <w:right w:val="none" w:sz="0" w:space="0" w:color="auto"/>
      </w:divBdr>
    </w:div>
    <w:div w:id="225075125">
      <w:bodyDiv w:val="1"/>
      <w:marLeft w:val="0"/>
      <w:marRight w:val="0"/>
      <w:marTop w:val="0"/>
      <w:marBottom w:val="0"/>
      <w:divBdr>
        <w:top w:val="none" w:sz="0" w:space="0" w:color="auto"/>
        <w:left w:val="none" w:sz="0" w:space="0" w:color="auto"/>
        <w:bottom w:val="none" w:sz="0" w:space="0" w:color="auto"/>
        <w:right w:val="none" w:sz="0" w:space="0" w:color="auto"/>
      </w:divBdr>
    </w:div>
    <w:div w:id="447161512">
      <w:bodyDiv w:val="1"/>
      <w:marLeft w:val="0"/>
      <w:marRight w:val="0"/>
      <w:marTop w:val="0"/>
      <w:marBottom w:val="0"/>
      <w:divBdr>
        <w:top w:val="none" w:sz="0" w:space="0" w:color="auto"/>
        <w:left w:val="none" w:sz="0" w:space="0" w:color="auto"/>
        <w:bottom w:val="none" w:sz="0" w:space="0" w:color="auto"/>
        <w:right w:val="none" w:sz="0" w:space="0" w:color="auto"/>
      </w:divBdr>
      <w:divsChild>
        <w:div w:id="1767379439">
          <w:marLeft w:val="0"/>
          <w:marRight w:val="0"/>
          <w:marTop w:val="0"/>
          <w:marBottom w:val="0"/>
          <w:divBdr>
            <w:top w:val="none" w:sz="0" w:space="0" w:color="auto"/>
            <w:left w:val="none" w:sz="0" w:space="0" w:color="auto"/>
            <w:bottom w:val="none" w:sz="0" w:space="0" w:color="auto"/>
            <w:right w:val="none" w:sz="0" w:space="0" w:color="auto"/>
          </w:divBdr>
          <w:divsChild>
            <w:div w:id="99953476">
              <w:marLeft w:val="0"/>
              <w:marRight w:val="0"/>
              <w:marTop w:val="0"/>
              <w:marBottom w:val="0"/>
              <w:divBdr>
                <w:top w:val="none" w:sz="0" w:space="0" w:color="auto"/>
                <w:left w:val="none" w:sz="0" w:space="0" w:color="auto"/>
                <w:bottom w:val="none" w:sz="0" w:space="0" w:color="auto"/>
                <w:right w:val="none" w:sz="0" w:space="0" w:color="auto"/>
              </w:divBdr>
              <w:divsChild>
                <w:div w:id="1107235725">
                  <w:marLeft w:val="0"/>
                  <w:marRight w:val="0"/>
                  <w:marTop w:val="0"/>
                  <w:marBottom w:val="0"/>
                  <w:divBdr>
                    <w:top w:val="none" w:sz="0" w:space="0" w:color="auto"/>
                    <w:left w:val="none" w:sz="0" w:space="0" w:color="auto"/>
                    <w:bottom w:val="none" w:sz="0" w:space="0" w:color="auto"/>
                    <w:right w:val="none" w:sz="0" w:space="0" w:color="auto"/>
                  </w:divBdr>
                  <w:divsChild>
                    <w:div w:id="1038168076">
                      <w:marLeft w:val="0"/>
                      <w:marRight w:val="0"/>
                      <w:marTop w:val="0"/>
                      <w:marBottom w:val="0"/>
                      <w:divBdr>
                        <w:top w:val="none" w:sz="0" w:space="0" w:color="auto"/>
                        <w:left w:val="none" w:sz="0" w:space="0" w:color="auto"/>
                        <w:bottom w:val="none" w:sz="0" w:space="0" w:color="auto"/>
                        <w:right w:val="none" w:sz="0" w:space="0" w:color="auto"/>
                      </w:divBdr>
                      <w:divsChild>
                        <w:div w:id="149636996">
                          <w:marLeft w:val="0"/>
                          <w:marRight w:val="0"/>
                          <w:marTop w:val="0"/>
                          <w:marBottom w:val="0"/>
                          <w:divBdr>
                            <w:top w:val="none" w:sz="0" w:space="0" w:color="auto"/>
                            <w:left w:val="none" w:sz="0" w:space="0" w:color="auto"/>
                            <w:bottom w:val="none" w:sz="0" w:space="0" w:color="auto"/>
                            <w:right w:val="none" w:sz="0" w:space="0" w:color="auto"/>
                          </w:divBdr>
                          <w:divsChild>
                            <w:div w:id="1550609973">
                              <w:marLeft w:val="0"/>
                              <w:marRight w:val="0"/>
                              <w:marTop w:val="0"/>
                              <w:marBottom w:val="0"/>
                              <w:divBdr>
                                <w:top w:val="none" w:sz="0" w:space="0" w:color="auto"/>
                                <w:left w:val="none" w:sz="0" w:space="0" w:color="auto"/>
                                <w:bottom w:val="none" w:sz="0" w:space="0" w:color="auto"/>
                                <w:right w:val="none" w:sz="0" w:space="0" w:color="auto"/>
                              </w:divBdr>
                              <w:divsChild>
                                <w:div w:id="1709644147">
                                  <w:marLeft w:val="0"/>
                                  <w:marRight w:val="0"/>
                                  <w:marTop w:val="0"/>
                                  <w:marBottom w:val="0"/>
                                  <w:divBdr>
                                    <w:top w:val="none" w:sz="0" w:space="0" w:color="auto"/>
                                    <w:left w:val="none" w:sz="0" w:space="0" w:color="auto"/>
                                    <w:bottom w:val="none" w:sz="0" w:space="0" w:color="auto"/>
                                    <w:right w:val="none" w:sz="0" w:space="0" w:color="auto"/>
                                  </w:divBdr>
                                  <w:divsChild>
                                    <w:div w:id="122162957">
                                      <w:marLeft w:val="0"/>
                                      <w:marRight w:val="0"/>
                                      <w:marTop w:val="0"/>
                                      <w:marBottom w:val="0"/>
                                      <w:divBdr>
                                        <w:top w:val="none" w:sz="0" w:space="0" w:color="auto"/>
                                        <w:left w:val="none" w:sz="0" w:space="0" w:color="auto"/>
                                        <w:bottom w:val="none" w:sz="0" w:space="0" w:color="auto"/>
                                        <w:right w:val="none" w:sz="0" w:space="0" w:color="auto"/>
                                      </w:divBdr>
                                      <w:divsChild>
                                        <w:div w:id="1319266068">
                                          <w:marLeft w:val="0"/>
                                          <w:marRight w:val="0"/>
                                          <w:marTop w:val="0"/>
                                          <w:marBottom w:val="0"/>
                                          <w:divBdr>
                                            <w:top w:val="none" w:sz="0" w:space="0" w:color="auto"/>
                                            <w:left w:val="none" w:sz="0" w:space="0" w:color="auto"/>
                                            <w:bottom w:val="none" w:sz="0" w:space="0" w:color="auto"/>
                                            <w:right w:val="none" w:sz="0" w:space="0" w:color="auto"/>
                                          </w:divBdr>
                                          <w:divsChild>
                                            <w:div w:id="3256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916054">
      <w:bodyDiv w:val="1"/>
      <w:marLeft w:val="0"/>
      <w:marRight w:val="0"/>
      <w:marTop w:val="0"/>
      <w:marBottom w:val="0"/>
      <w:divBdr>
        <w:top w:val="none" w:sz="0" w:space="0" w:color="auto"/>
        <w:left w:val="none" w:sz="0" w:space="0" w:color="auto"/>
        <w:bottom w:val="none" w:sz="0" w:space="0" w:color="auto"/>
        <w:right w:val="none" w:sz="0" w:space="0" w:color="auto"/>
      </w:divBdr>
    </w:div>
    <w:div w:id="782846813">
      <w:bodyDiv w:val="1"/>
      <w:marLeft w:val="0"/>
      <w:marRight w:val="0"/>
      <w:marTop w:val="0"/>
      <w:marBottom w:val="0"/>
      <w:divBdr>
        <w:top w:val="none" w:sz="0" w:space="0" w:color="auto"/>
        <w:left w:val="none" w:sz="0" w:space="0" w:color="auto"/>
        <w:bottom w:val="none" w:sz="0" w:space="0" w:color="auto"/>
        <w:right w:val="none" w:sz="0" w:space="0" w:color="auto"/>
      </w:divBdr>
    </w:div>
    <w:div w:id="854687168">
      <w:bodyDiv w:val="1"/>
      <w:marLeft w:val="0"/>
      <w:marRight w:val="0"/>
      <w:marTop w:val="0"/>
      <w:marBottom w:val="0"/>
      <w:divBdr>
        <w:top w:val="none" w:sz="0" w:space="0" w:color="auto"/>
        <w:left w:val="none" w:sz="0" w:space="0" w:color="auto"/>
        <w:bottom w:val="none" w:sz="0" w:space="0" w:color="auto"/>
        <w:right w:val="none" w:sz="0" w:space="0" w:color="auto"/>
      </w:divBdr>
      <w:divsChild>
        <w:div w:id="871648536">
          <w:marLeft w:val="0"/>
          <w:marRight w:val="0"/>
          <w:marTop w:val="0"/>
          <w:marBottom w:val="0"/>
          <w:divBdr>
            <w:top w:val="none" w:sz="0" w:space="0" w:color="auto"/>
            <w:left w:val="none" w:sz="0" w:space="0" w:color="auto"/>
            <w:bottom w:val="none" w:sz="0" w:space="0" w:color="auto"/>
            <w:right w:val="none" w:sz="0" w:space="0" w:color="auto"/>
          </w:divBdr>
          <w:divsChild>
            <w:div w:id="1801217389">
              <w:marLeft w:val="0"/>
              <w:marRight w:val="0"/>
              <w:marTop w:val="0"/>
              <w:marBottom w:val="0"/>
              <w:divBdr>
                <w:top w:val="none" w:sz="0" w:space="0" w:color="auto"/>
                <w:left w:val="none" w:sz="0" w:space="0" w:color="auto"/>
                <w:bottom w:val="none" w:sz="0" w:space="0" w:color="auto"/>
                <w:right w:val="none" w:sz="0" w:space="0" w:color="auto"/>
              </w:divBdr>
              <w:divsChild>
                <w:div w:id="1554464195">
                  <w:marLeft w:val="0"/>
                  <w:marRight w:val="0"/>
                  <w:marTop w:val="0"/>
                  <w:marBottom w:val="0"/>
                  <w:divBdr>
                    <w:top w:val="none" w:sz="0" w:space="0" w:color="auto"/>
                    <w:left w:val="none" w:sz="0" w:space="0" w:color="auto"/>
                    <w:bottom w:val="none" w:sz="0" w:space="0" w:color="auto"/>
                    <w:right w:val="none" w:sz="0" w:space="0" w:color="auto"/>
                  </w:divBdr>
                  <w:divsChild>
                    <w:div w:id="2044819884">
                      <w:marLeft w:val="0"/>
                      <w:marRight w:val="0"/>
                      <w:marTop w:val="0"/>
                      <w:marBottom w:val="0"/>
                      <w:divBdr>
                        <w:top w:val="none" w:sz="0" w:space="0" w:color="auto"/>
                        <w:left w:val="none" w:sz="0" w:space="0" w:color="auto"/>
                        <w:bottom w:val="none" w:sz="0" w:space="0" w:color="auto"/>
                        <w:right w:val="none" w:sz="0" w:space="0" w:color="auto"/>
                      </w:divBdr>
                      <w:divsChild>
                        <w:div w:id="1113600490">
                          <w:marLeft w:val="0"/>
                          <w:marRight w:val="0"/>
                          <w:marTop w:val="0"/>
                          <w:marBottom w:val="0"/>
                          <w:divBdr>
                            <w:top w:val="none" w:sz="0" w:space="0" w:color="auto"/>
                            <w:left w:val="none" w:sz="0" w:space="0" w:color="auto"/>
                            <w:bottom w:val="none" w:sz="0" w:space="0" w:color="auto"/>
                            <w:right w:val="none" w:sz="0" w:space="0" w:color="auto"/>
                          </w:divBdr>
                          <w:divsChild>
                            <w:div w:id="1868635527">
                              <w:marLeft w:val="0"/>
                              <w:marRight w:val="0"/>
                              <w:marTop w:val="0"/>
                              <w:marBottom w:val="0"/>
                              <w:divBdr>
                                <w:top w:val="none" w:sz="0" w:space="0" w:color="auto"/>
                                <w:left w:val="none" w:sz="0" w:space="0" w:color="auto"/>
                                <w:bottom w:val="none" w:sz="0" w:space="0" w:color="auto"/>
                                <w:right w:val="none" w:sz="0" w:space="0" w:color="auto"/>
                              </w:divBdr>
                              <w:divsChild>
                                <w:div w:id="1455367377">
                                  <w:marLeft w:val="0"/>
                                  <w:marRight w:val="0"/>
                                  <w:marTop w:val="0"/>
                                  <w:marBottom w:val="0"/>
                                  <w:divBdr>
                                    <w:top w:val="none" w:sz="0" w:space="0" w:color="auto"/>
                                    <w:left w:val="none" w:sz="0" w:space="0" w:color="auto"/>
                                    <w:bottom w:val="none" w:sz="0" w:space="0" w:color="auto"/>
                                    <w:right w:val="none" w:sz="0" w:space="0" w:color="auto"/>
                                  </w:divBdr>
                                  <w:divsChild>
                                    <w:div w:id="1453399001">
                                      <w:marLeft w:val="0"/>
                                      <w:marRight w:val="0"/>
                                      <w:marTop w:val="0"/>
                                      <w:marBottom w:val="0"/>
                                      <w:divBdr>
                                        <w:top w:val="none" w:sz="0" w:space="0" w:color="auto"/>
                                        <w:left w:val="none" w:sz="0" w:space="0" w:color="auto"/>
                                        <w:bottom w:val="none" w:sz="0" w:space="0" w:color="auto"/>
                                        <w:right w:val="none" w:sz="0" w:space="0" w:color="auto"/>
                                      </w:divBdr>
                                      <w:divsChild>
                                        <w:div w:id="1082726110">
                                          <w:marLeft w:val="0"/>
                                          <w:marRight w:val="0"/>
                                          <w:marTop w:val="0"/>
                                          <w:marBottom w:val="0"/>
                                          <w:divBdr>
                                            <w:top w:val="none" w:sz="0" w:space="0" w:color="auto"/>
                                            <w:left w:val="none" w:sz="0" w:space="0" w:color="auto"/>
                                            <w:bottom w:val="none" w:sz="0" w:space="0" w:color="auto"/>
                                            <w:right w:val="none" w:sz="0" w:space="0" w:color="auto"/>
                                          </w:divBdr>
                                          <w:divsChild>
                                            <w:div w:id="18362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780381">
      <w:bodyDiv w:val="1"/>
      <w:marLeft w:val="0"/>
      <w:marRight w:val="0"/>
      <w:marTop w:val="0"/>
      <w:marBottom w:val="0"/>
      <w:divBdr>
        <w:top w:val="none" w:sz="0" w:space="0" w:color="auto"/>
        <w:left w:val="none" w:sz="0" w:space="0" w:color="auto"/>
        <w:bottom w:val="none" w:sz="0" w:space="0" w:color="auto"/>
        <w:right w:val="none" w:sz="0" w:space="0" w:color="auto"/>
      </w:divBdr>
    </w:div>
    <w:div w:id="1710062459">
      <w:bodyDiv w:val="1"/>
      <w:marLeft w:val="0"/>
      <w:marRight w:val="0"/>
      <w:marTop w:val="0"/>
      <w:marBottom w:val="0"/>
      <w:divBdr>
        <w:top w:val="none" w:sz="0" w:space="0" w:color="auto"/>
        <w:left w:val="none" w:sz="0" w:space="0" w:color="auto"/>
        <w:bottom w:val="none" w:sz="0" w:space="0" w:color="auto"/>
        <w:right w:val="none" w:sz="0" w:space="0" w:color="auto"/>
      </w:divBdr>
    </w:div>
    <w:div w:id="1802729622">
      <w:bodyDiv w:val="1"/>
      <w:marLeft w:val="0"/>
      <w:marRight w:val="0"/>
      <w:marTop w:val="0"/>
      <w:marBottom w:val="0"/>
      <w:divBdr>
        <w:top w:val="none" w:sz="0" w:space="0" w:color="auto"/>
        <w:left w:val="none" w:sz="0" w:space="0" w:color="auto"/>
        <w:bottom w:val="none" w:sz="0" w:space="0" w:color="auto"/>
        <w:right w:val="none" w:sz="0" w:space="0" w:color="auto"/>
      </w:divBdr>
    </w:div>
    <w:div w:id="204093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F35BC-FF62-4C5D-BF53-A5D18C557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2548</Words>
  <Characters>14526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李承阳</dc:creator>
  <cp:lastModifiedBy>张天</cp:lastModifiedBy>
  <cp:revision>15</cp:revision>
  <cp:lastPrinted>2017-08-30T13:34:00Z</cp:lastPrinted>
  <dcterms:created xsi:type="dcterms:W3CDTF">2019-03-27T13:12:00Z</dcterms:created>
  <dcterms:modified xsi:type="dcterms:W3CDTF">2019-03-27T15:00:00Z</dcterms:modified>
</cp:coreProperties>
</file>