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jc w:val="left"/>
        <w:rPr>
          <w:rFonts w:ascii="Times New Roman" w:hAnsi="Times New Roman" w:eastAsia="宋体"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[Press Release of 2022 Interim Performance Report]</w:t>
      </w:r>
    </w:p>
    <w:p>
      <w:pPr>
        <w:snapToGrid w:val="0"/>
        <w:spacing w:beforeLines="50" w:afterLines="50"/>
        <w:jc w:val="center"/>
        <w:rPr>
          <w:rFonts w:ascii="Times New Roman" w:hAnsi="Times New Roman" w:eastAsia="宋体" w:cs="Times New Roman"/>
          <w:b/>
          <w:bCs/>
          <w:color w:val="000000" w:themeColor="text1"/>
          <w:sz w:val="24"/>
          <w:szCs w:val="24"/>
          <w:highlight w:val="none"/>
        </w:rPr>
      </w:pPr>
    </w:p>
    <w:p>
      <w:pPr>
        <w:snapToGrid w:val="0"/>
        <w:spacing w:beforeLines="50" w:afterLines="50"/>
        <w:jc w:val="center"/>
        <w:rPr>
          <w:rFonts w:ascii="Times New Roman" w:hAnsi="Times New Roman" w:eastAsia="宋体" w:cs="Times New Roman"/>
          <w:b/>
          <w:bCs/>
          <w:color w:val="000000" w:themeColor="text1"/>
          <w:sz w:val="24"/>
          <w:szCs w:val="24"/>
          <w:highlight w:val="none"/>
        </w:rPr>
      </w:pPr>
    </w:p>
    <w:p>
      <w:pPr>
        <w:snapToGrid w:val="0"/>
        <w:spacing w:beforeLines="50" w:afterLines="50"/>
        <w:jc w:val="center"/>
        <w:rPr>
          <w:rFonts w:ascii="Times New Roman" w:hAnsi="Times New Roman" w:eastAsia="宋体"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Stick to the original and serve entity economy, robust innovation-driven development</w:t>
      </w:r>
    </w:p>
    <w:p>
      <w:pPr>
        <w:snapToGrid w:val="0"/>
        <w:spacing w:beforeLines="50" w:afterLines="50"/>
        <w:jc w:val="center"/>
        <w:rPr>
          <w:rFonts w:ascii="Times New Roman" w:hAnsi="Times New Roman" w:eastAsia="宋体" w:cs="Times New Roman"/>
          <w:b/>
          <w:color w:val="000000" w:themeColor="text1"/>
          <w:sz w:val="24"/>
          <w:szCs w:val="24"/>
          <w:highlight w:val="none"/>
        </w:rPr>
      </w:pPr>
      <w:r>
        <w:rPr>
          <w:rFonts w:ascii="Times New Roman" w:hAnsi="Times New Roman" w:cs="Times New Roman"/>
          <w:b/>
          <w:color w:val="000000" w:themeColor="text1"/>
          <w:sz w:val="24"/>
          <w:szCs w:val="24"/>
          <w:highlight w:val="none"/>
        </w:rPr>
        <w:t>China Construction Bank reports operating results for the first half of 2022</w:t>
      </w:r>
    </w:p>
    <w:p>
      <w:pPr>
        <w:snapToGrid w:val="0"/>
        <w:spacing w:beforeLines="50" w:afterLines="50"/>
        <w:jc w:val="center"/>
        <w:rPr>
          <w:rFonts w:ascii="Times New Roman" w:hAnsi="Times New Roman" w:eastAsia="宋体" w:cs="Times New Roman"/>
          <w:b/>
          <w:color w:val="000000" w:themeColor="text1"/>
          <w:sz w:val="24"/>
          <w:szCs w:val="24"/>
          <w:highlight w:val="none"/>
        </w:rPr>
      </w:pP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color w:val="000000" w:themeColor="text1"/>
          <w:sz w:val="24"/>
          <w:szCs w:val="24"/>
          <w:highlight w:val="none"/>
        </w:rPr>
        <w:t>On Aug. 30, 2022, China Construction Bank Corporation (Stock code: SH: 601939; HK: 00939) (hereinafter referred to as "CCB") reported operating results for the first half of 2022 (The following data for the Group were prepared in line with International Financial Reporting Standards and denominated in RMB). Since 2022, CCB has conscientiously carried out the decision-making and deployment of the CPC Central Committee and the State Council; implemented the new development concept through new financial campaign; enhanced its "Three Abilities", further promoted</w:t>
      </w:r>
      <w:r>
        <w:rPr>
          <w:rFonts w:hint="eastAsia"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"Three Major Strategies"; given full rein to its leading role in financial services as a leading state-owned bank; vigorously supported the stable operation of the economy and made significant achievements in these regards.</w:t>
      </w:r>
    </w:p>
    <w:p>
      <w:pPr>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color w:val="000000" w:themeColor="text1"/>
          <w:sz w:val="24"/>
          <w:szCs w:val="24"/>
          <w:highlight w:val="none"/>
        </w:rPr>
        <w:t>According to the interim report, CCB registered robust growth in asset and liability and maintained relative advantages in core indexes by the end of June 2022</w:t>
      </w:r>
      <w:r>
        <w:rPr>
          <w:rFonts w:ascii="Times New Roman" w:hAnsi="Times New Roman" w:cs="Times New Roman"/>
          <w:color w:val="000000" w:themeColor="text1"/>
          <w:sz w:val="24"/>
          <w:szCs w:val="24"/>
          <w:highlight w:val="none"/>
        </w:rPr>
        <w:t>. The total assets reached RMB</w:t>
      </w:r>
      <w:r>
        <w:rPr>
          <w:rFonts w:hint="eastAsia" w:ascii="Times New Roman" w:hAnsi="Times New Roman" w:cs="Times New Roman"/>
          <w:color w:val="000000" w:themeColor="text1"/>
          <w:sz w:val="24"/>
          <w:szCs w:val="24"/>
          <w:highlight w:val="none"/>
          <w:lang w:val="en-US" w:eastAsia="zh-CN"/>
        </w:rPr>
        <w:t xml:space="preserve"> 33.69</w:t>
      </w:r>
      <w:r>
        <w:rPr>
          <w:rFonts w:ascii="Times New Roman" w:hAnsi="Times New Roman" w:cs="Times New Roman"/>
          <w:color w:val="000000" w:themeColor="text1"/>
          <w:sz w:val="24"/>
          <w:szCs w:val="24"/>
          <w:highlight w:val="none"/>
        </w:rPr>
        <w:t xml:space="preserve"> trillion, up by </w:t>
      </w:r>
      <w:r>
        <w:rPr>
          <w:rFonts w:hint="eastAsia" w:ascii="Times New Roman" w:hAnsi="Times New Roman" w:cs="Times New Roman"/>
          <w:color w:val="000000" w:themeColor="text1"/>
          <w:sz w:val="24"/>
          <w:szCs w:val="24"/>
          <w:highlight w:val="none"/>
          <w:lang w:val="en-US" w:eastAsia="zh-CN"/>
        </w:rPr>
        <w:t>11.35</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xml:space="preserve">; the net value of its loans and advance payments and its financial investments </w:t>
      </w:r>
      <w:r>
        <w:rPr>
          <w:rFonts w:ascii="Times New Roman" w:hAnsi="Times New Roman" w:cs="Times New Roman"/>
          <w:color w:val="000000" w:themeColor="text1"/>
          <w:sz w:val="24"/>
          <w:szCs w:val="24"/>
          <w:highlight w:val="none"/>
        </w:rPr>
        <w:t xml:space="preserve">grew by </w:t>
      </w:r>
      <w:r>
        <w:rPr>
          <w:rFonts w:hint="eastAsia" w:ascii="Times New Roman" w:hAnsi="Times New Roman" w:cs="Times New Roman"/>
          <w:color w:val="000000" w:themeColor="text1"/>
          <w:sz w:val="24"/>
          <w:szCs w:val="24"/>
          <w:highlight w:val="none"/>
          <w:lang w:val="en-US" w:eastAsia="zh-CN"/>
        </w:rPr>
        <w:t>8.38</w:t>
      </w:r>
      <w:r>
        <w:rPr>
          <w:rFonts w:ascii="Times New Roman" w:hAnsi="Times New Roman" w:cs="Times New Roman"/>
          <w:color w:val="000000" w:themeColor="text1"/>
          <w:sz w:val="24"/>
          <w:szCs w:val="24"/>
          <w:highlight w:val="none"/>
        </w:rPr>
        <w:t xml:space="preserve">% and </w:t>
      </w:r>
      <w:r>
        <w:rPr>
          <w:rFonts w:hint="eastAsia" w:ascii="Times New Roman" w:hAnsi="Times New Roman" w:cs="Times New Roman"/>
          <w:color w:val="000000" w:themeColor="text1"/>
          <w:sz w:val="24"/>
          <w:szCs w:val="24"/>
          <w:highlight w:val="none"/>
          <w:lang w:val="en-US" w:eastAsia="zh-CN"/>
        </w:rPr>
        <w:t>10.26</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xml:space="preserve"> respectively. </w:t>
      </w:r>
      <w:r>
        <w:rPr>
          <w:rFonts w:ascii="Times New Roman" w:hAnsi="Times New Roman" w:cs="Times New Roman"/>
          <w:color w:val="000000" w:themeColor="text1"/>
          <w:sz w:val="24"/>
          <w:szCs w:val="24"/>
          <w:highlight w:val="none"/>
        </w:rPr>
        <w:t>The total liabilities reached RMB</w:t>
      </w:r>
      <w:r>
        <w:rPr>
          <w:rFonts w:hint="eastAsia" w:ascii="Times New Roman" w:hAnsi="Times New Roman" w:cs="Times New Roman"/>
          <w:color w:val="000000" w:themeColor="text1"/>
          <w:sz w:val="24"/>
          <w:szCs w:val="24"/>
          <w:highlight w:val="none"/>
          <w:lang w:val="en-US" w:eastAsia="zh-CN"/>
        </w:rPr>
        <w:t xml:space="preserve"> 31.01</w:t>
      </w:r>
      <w:r>
        <w:rPr>
          <w:rFonts w:ascii="Times New Roman" w:hAnsi="Times New Roman" w:cs="Times New Roman"/>
          <w:color w:val="000000" w:themeColor="text1"/>
          <w:sz w:val="24"/>
          <w:szCs w:val="24"/>
          <w:highlight w:val="none"/>
        </w:rPr>
        <w:t xml:space="preserve"> trillion, increased by</w:t>
      </w:r>
      <w:r>
        <w:rPr>
          <w:rFonts w:hint="eastAsia" w:ascii="Times New Roman" w:hAnsi="Times New Roman" w:cs="Times New Roman"/>
          <w:color w:val="000000" w:themeColor="text1"/>
          <w:sz w:val="24"/>
          <w:szCs w:val="24"/>
          <w:highlight w:val="none"/>
          <w:lang w:val="en-US" w:eastAsia="zh-CN"/>
        </w:rPr>
        <w:t xml:space="preserve"> 12.18</w:t>
      </w:r>
      <w:r>
        <w:rPr>
          <w:rFonts w:ascii="Times New Roman" w:hAnsi="Times New Roman" w:cs="Times New Roman"/>
          <w:color w:val="000000" w:themeColor="text1"/>
          <w:sz w:val="24"/>
          <w:szCs w:val="24"/>
          <w:highlight w:val="none"/>
        </w:rPr>
        <w:t xml:space="preserve">%; the deposits increased by </w:t>
      </w:r>
      <w:r>
        <w:rPr>
          <w:rFonts w:hint="eastAsia" w:ascii="Times New Roman" w:hAnsi="Times New Roman" w:cs="Times New Roman"/>
          <w:color w:val="000000" w:themeColor="text1"/>
          <w:sz w:val="24"/>
          <w:szCs w:val="24"/>
          <w:highlight w:val="none"/>
          <w:lang w:val="en-US" w:eastAsia="zh-CN"/>
        </w:rPr>
        <w:t>8.07</w:t>
      </w:r>
      <w:r>
        <w:rPr>
          <w:rFonts w:ascii="Times New Roman" w:hAnsi="Times New Roman" w:cs="Times New Roman"/>
          <w:color w:val="000000" w:themeColor="text1"/>
          <w:sz w:val="24"/>
          <w:szCs w:val="24"/>
          <w:highlight w:val="none"/>
        </w:rPr>
        <w:t>%. Its net interest income was RMB</w:t>
      </w:r>
      <w:r>
        <w:rPr>
          <w:rFonts w:hint="eastAsia" w:ascii="Times New Roman" w:hAnsi="Times New Roman" w:cs="Times New Roman"/>
          <w:color w:val="000000" w:themeColor="text1"/>
          <w:sz w:val="24"/>
          <w:szCs w:val="24"/>
          <w:highlight w:val="none"/>
          <w:lang w:val="en-US" w:eastAsia="zh-CN"/>
        </w:rPr>
        <w:t xml:space="preserve"> 317.340 billion</w:t>
      </w:r>
      <w:r>
        <w:rPr>
          <w:rFonts w:ascii="Times New Roman" w:hAnsi="Times New Roman" w:cs="Times New Roman"/>
          <w:color w:val="000000" w:themeColor="text1"/>
          <w:sz w:val="24"/>
          <w:szCs w:val="24"/>
          <w:highlight w:val="none"/>
        </w:rPr>
        <w:t xml:space="preserve"> and the net income from handling charges and commissions was RMB</w:t>
      </w:r>
      <w:r>
        <w:rPr>
          <w:rFonts w:hint="eastAsia" w:ascii="Times New Roman" w:hAnsi="Times New Roman" w:cs="Times New Roman"/>
          <w:color w:val="000000" w:themeColor="text1"/>
          <w:sz w:val="24"/>
          <w:szCs w:val="24"/>
          <w:highlight w:val="none"/>
          <w:lang w:val="en-US" w:eastAsia="zh-CN"/>
        </w:rPr>
        <w:t xml:space="preserve"> 68.823 billion</w:t>
      </w:r>
      <w:r>
        <w:rPr>
          <w:rFonts w:ascii="Times New Roman" w:hAnsi="Times New Roman" w:cs="Times New Roman"/>
          <w:color w:val="000000" w:themeColor="text1"/>
          <w:sz w:val="24"/>
          <w:szCs w:val="24"/>
          <w:highlight w:val="none"/>
        </w:rPr>
        <w:t xml:space="preserve">. The NPL ratio was </w:t>
      </w:r>
      <w:r>
        <w:rPr>
          <w:rFonts w:hint="eastAsia" w:ascii="Times New Roman" w:hAnsi="Times New Roman" w:cs="Times New Roman"/>
          <w:color w:val="000000" w:themeColor="text1"/>
          <w:sz w:val="24"/>
          <w:szCs w:val="24"/>
          <w:highlight w:val="none"/>
          <w:lang w:val="en-US" w:eastAsia="zh-CN"/>
        </w:rPr>
        <w:t>1.40</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 xml:space="preserve">down by </w:t>
      </w:r>
      <w:r>
        <w:rPr>
          <w:rFonts w:hint="eastAsia" w:ascii="Times New Roman" w:hAnsi="Times New Roman" w:cs="Times New Roman"/>
          <w:color w:val="000000" w:themeColor="text1"/>
          <w:sz w:val="24"/>
          <w:szCs w:val="24"/>
          <w:highlight w:val="none"/>
          <w:lang w:val="en-US" w:eastAsia="zh-CN"/>
        </w:rPr>
        <w:t xml:space="preserve">0.02 </w:t>
      </w:r>
      <w:r>
        <w:rPr>
          <w:rFonts w:ascii="Times New Roman" w:hAnsi="Times New Roman" w:cs="Times New Roman"/>
          <w:color w:val="000000" w:themeColor="text1"/>
          <w:sz w:val="24"/>
          <w:szCs w:val="24"/>
          <w:highlight w:val="none"/>
        </w:rPr>
        <w:t>percentage points</w:t>
      </w:r>
      <w:r>
        <w:rPr>
          <w:rFonts w:ascii="Times New Roman" w:hAnsi="Times New Roman" w:cs="Times New Roman"/>
          <w:color w:val="000000" w:themeColor="text1"/>
          <w:sz w:val="24"/>
          <w:szCs w:val="24"/>
          <w:highlight w:val="none"/>
        </w:rPr>
        <w:t xml:space="preserve"> over that at the end of previous year. </w:t>
      </w:r>
      <w:r>
        <w:rPr>
          <w:rFonts w:ascii="Times New Roman" w:hAnsi="Times New Roman" w:cs="Times New Roman"/>
          <w:color w:val="000000" w:themeColor="text1"/>
          <w:sz w:val="24"/>
          <w:szCs w:val="24"/>
          <w:highlight w:val="none"/>
        </w:rPr>
        <w:t>Its net profit was RMB</w:t>
      </w:r>
      <w:r>
        <w:rPr>
          <w:rFonts w:hint="eastAsia" w:ascii="Times New Roman" w:hAnsi="Times New Roman" w:cs="Times New Roman"/>
          <w:color w:val="000000" w:themeColor="text1"/>
          <w:sz w:val="24"/>
          <w:szCs w:val="24"/>
          <w:highlight w:val="none"/>
          <w:lang w:val="en-US" w:eastAsia="zh-CN"/>
        </w:rPr>
        <w:t xml:space="preserve"> 161.730 billion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 xml:space="preserve">up by </w:t>
      </w:r>
      <w:r>
        <w:rPr>
          <w:rFonts w:hint="eastAsia" w:ascii="Times New Roman" w:hAnsi="Times New Roman" w:cs="Times New Roman"/>
          <w:color w:val="000000" w:themeColor="text1"/>
          <w:sz w:val="24"/>
          <w:szCs w:val="24"/>
          <w:highlight w:val="none"/>
          <w:lang w:val="en-US" w:eastAsia="zh-CN"/>
        </w:rPr>
        <w:t>4.95</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xml:space="preserve"> YOY. Its annualised </w:t>
      </w:r>
      <w:r>
        <w:rPr>
          <w:rFonts w:hint="eastAsia" w:ascii="Times New Roman" w:hAnsi="Times New Roman" w:cs="Times New Roman"/>
          <w:color w:val="000000" w:themeColor="text1"/>
          <w:sz w:val="24"/>
          <w:szCs w:val="24"/>
          <w:highlight w:val="none"/>
        </w:rPr>
        <w:t>return on equity</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 xml:space="preserve">was </w:t>
      </w:r>
      <w:r>
        <w:rPr>
          <w:rFonts w:hint="eastAsia" w:ascii="Times New Roman" w:hAnsi="Times New Roman" w:cs="Times New Roman"/>
          <w:color w:val="000000" w:themeColor="text1"/>
          <w:sz w:val="24"/>
          <w:szCs w:val="24"/>
          <w:highlight w:val="none"/>
          <w:lang w:val="en-US" w:eastAsia="zh-CN"/>
        </w:rPr>
        <w:t>1.01</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xml:space="preserve">, annualized weighted average </w:t>
      </w:r>
      <w:r>
        <w:rPr>
          <w:rFonts w:ascii="Times New Roman" w:hAnsi="Times New Roman" w:cs="Times New Roman"/>
          <w:color w:val="000000" w:themeColor="text1"/>
          <w:sz w:val="24"/>
          <w:szCs w:val="24"/>
          <w:highlight w:val="none"/>
        </w:rPr>
        <w:t xml:space="preserve">ROE was </w:t>
      </w:r>
      <w:r>
        <w:rPr>
          <w:rFonts w:hint="eastAsia" w:ascii="Times New Roman" w:hAnsi="Times New Roman" w:cs="Times New Roman"/>
          <w:color w:val="000000" w:themeColor="text1"/>
          <w:sz w:val="24"/>
          <w:szCs w:val="24"/>
          <w:highlight w:val="none"/>
          <w:lang w:val="en-US" w:eastAsia="zh-CN"/>
        </w:rPr>
        <w:t>12.56</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xml:space="preserve"> and </w:t>
      </w:r>
      <w:r>
        <w:rPr>
          <w:rFonts w:ascii="Times New Roman" w:hAnsi="Times New Roman" w:cs="Times New Roman"/>
          <w:color w:val="000000" w:themeColor="text1"/>
          <w:sz w:val="24"/>
          <w:szCs w:val="24"/>
          <w:highlight w:val="none"/>
        </w:rPr>
        <w:t xml:space="preserve">a capital adequacy ratio was </w:t>
      </w:r>
      <w:r>
        <w:rPr>
          <w:rFonts w:hint="eastAsia" w:ascii="Times New Roman" w:hAnsi="Times New Roman" w:cs="Times New Roman"/>
          <w:color w:val="000000" w:themeColor="text1"/>
          <w:sz w:val="24"/>
          <w:szCs w:val="24"/>
          <w:highlight w:val="none"/>
          <w:lang w:val="en-US" w:eastAsia="zh-CN"/>
        </w:rPr>
        <w:t>17.95</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w:t>
      </w:r>
    </w:p>
    <w:p>
      <w:pPr>
        <w:snapToGrid w:val="0"/>
        <w:spacing w:beforeLines="50" w:afterLines="50"/>
        <w:rPr>
          <w:rFonts w:ascii="Times New Roman" w:hAnsi="Times New Roman" w:eastAsia="宋体" w:cs="Times New Roman"/>
          <w:color w:val="000000" w:themeColor="text1"/>
          <w:kern w:val="0"/>
          <w:sz w:val="24"/>
          <w:szCs w:val="24"/>
          <w:highlight w:val="none"/>
        </w:rPr>
      </w:pPr>
    </w:p>
    <w:p>
      <w:pPr>
        <w:widowControl/>
        <w:snapToGrid w:val="0"/>
        <w:spacing w:beforeLines="50" w:afterLines="50"/>
        <w:jc w:val="center"/>
        <w:rPr>
          <w:rFonts w:ascii="Times New Roman" w:hAnsi="Times New Roman" w:eastAsia="宋体" w:cs="Times New Roman"/>
          <w:b/>
          <w:color w:val="000000" w:themeColor="text1"/>
          <w:kern w:val="0"/>
          <w:sz w:val="24"/>
          <w:szCs w:val="24"/>
          <w:highlight w:val="none"/>
        </w:rPr>
      </w:pPr>
      <w:r>
        <w:rPr>
          <w:rFonts w:ascii="Times New Roman" w:hAnsi="Times New Roman" w:cs="Times New Roman"/>
          <w:b/>
          <w:color w:val="000000" w:themeColor="text1"/>
          <w:sz w:val="24"/>
          <w:szCs w:val="24"/>
          <w:highlight w:val="none"/>
        </w:rPr>
        <w:t>Precisely serviced entity economy</w:t>
      </w:r>
    </w:p>
    <w:p>
      <w:pPr>
        <w:widowControl/>
        <w:snapToGrid w:val="0"/>
        <w:spacing w:beforeLines="50" w:afterLines="50"/>
        <w:jc w:val="center"/>
        <w:rPr>
          <w:rFonts w:ascii="Times New Roman" w:hAnsi="Times New Roman" w:eastAsia="宋体" w:cs="Times New Roman"/>
          <w:b/>
          <w:color w:val="000000" w:themeColor="text1"/>
          <w:kern w:val="0"/>
          <w:sz w:val="24"/>
          <w:szCs w:val="24"/>
          <w:highlight w:val="none"/>
        </w:rPr>
      </w:pPr>
      <w:r>
        <w:rPr>
          <w:rFonts w:ascii="Times New Roman" w:hAnsi="Times New Roman" w:cs="Times New Roman"/>
          <w:b/>
          <w:color w:val="000000" w:themeColor="text1"/>
          <w:sz w:val="24"/>
          <w:szCs w:val="24"/>
          <w:highlight w:val="none"/>
        </w:rPr>
        <w:t>Assisted with the development of beautiful life</w:t>
      </w:r>
    </w:p>
    <w:p>
      <w:pPr>
        <w:widowControl/>
        <w:snapToGrid w:val="0"/>
        <w:spacing w:beforeLines="50" w:afterLines="50"/>
        <w:rPr>
          <w:rFonts w:hint="eastAsia" w:ascii="Times New Roman" w:hAnsi="Times New Roman" w:cs="Times New Roman"/>
          <w:color w:val="000000" w:themeColor="text1"/>
          <w:sz w:val="24"/>
          <w:szCs w:val="24"/>
          <w:highlight w:val="none"/>
        </w:rPr>
      </w:pPr>
    </w:p>
    <w:p>
      <w:pPr>
        <w:widowControl/>
        <w:snapToGrid w:val="0"/>
        <w:spacing w:beforeLines="50" w:afterLines="50"/>
        <w:rPr>
          <w:rFonts w:hint="eastAsia" w:ascii="Times New Roman" w:hAnsi="Times New Roman" w:cs="Times New Roman"/>
          <w:color w:val="000000" w:themeColor="text1"/>
          <w:sz w:val="24"/>
          <w:szCs w:val="24"/>
          <w:highlight w:val="none"/>
        </w:rPr>
      </w:pPr>
      <w:r>
        <w:rPr>
          <w:rFonts w:hint="eastAsia" w:ascii="Times New Roman" w:hAnsi="Times New Roman" w:cs="Times New Roman"/>
          <w:color w:val="000000" w:themeColor="text1"/>
          <w:sz w:val="24"/>
          <w:szCs w:val="24"/>
          <w:highlight w:val="none"/>
        </w:rPr>
        <w:t>In the first half of the year 2022, the global pandemic still had lingering effects on the global economy; bad situation between Russia and Ukraine and major economies' tightening policies brought new impacts; the international environment was getting increasingly complicated and stringent. The sporadic outbreak of the pandemic imposed heavy pressures on economic downturn. Facing the extraordinarily complex and difficult situation, CCB resolutely met the requirements of “stabilizing pandemic, stabilizing the economy and ensuring safe development”, assumed the responsibilities as the big state-owned bank and actively introduced a series of effective, warm and practical measures to support epidemic prevention and control and social and economic development. It aggressively promoted the benign cycle of the quality development of the entity economy and the quality development of CCB together.</w:t>
      </w:r>
    </w:p>
    <w:p>
      <w:pPr>
        <w:widowControl/>
        <w:snapToGrid w:val="0"/>
        <w:spacing w:beforeLines="50" w:afterLines="50"/>
        <w:rPr>
          <w:rFonts w:hint="eastAsia" w:ascii="Times New Roman" w:hAnsi="Times New Roman" w:cs="Times New Roman"/>
          <w:b/>
          <w:color w:val="000000" w:themeColor="text1"/>
          <w:sz w:val="24"/>
          <w:szCs w:val="24"/>
          <w:highlight w:val="none"/>
        </w:rPr>
      </w:pPr>
      <w:r>
        <w:rPr>
          <w:rFonts w:ascii="Times New Roman" w:hAnsi="Times New Roman" w:cs="Times New Roman"/>
          <w:b/>
          <w:color w:val="000000" w:themeColor="text1"/>
          <w:sz w:val="24"/>
          <w:szCs w:val="24"/>
          <w:highlight w:val="none"/>
        </w:rPr>
        <w:t>Increased credit supports to epidemic prevention and control and key sectors.</w:t>
      </w:r>
      <w:r>
        <w:rPr>
          <w:rFonts w:ascii="Times New Roman" w:hAnsi="Times New Roman" w:cs="Times New Roman"/>
          <w:color w:val="000000" w:themeColor="text1"/>
          <w:sz w:val="24"/>
          <w:szCs w:val="24"/>
          <w:highlight w:val="none"/>
        </w:rPr>
        <w:t xml:space="preserve"> </w:t>
      </w:r>
      <w:r>
        <w:rPr>
          <w:rFonts w:ascii="Times New Roman" w:hAnsi="Times New Roman" w:cs="Times New Roman"/>
          <w:b/>
          <w:color w:val="000000" w:themeColor="text1"/>
          <w:sz w:val="24"/>
          <w:szCs w:val="24"/>
          <w:highlight w:val="none"/>
        </w:rPr>
        <w:t>CCB</w:t>
      </w:r>
      <w:r>
        <w:rPr>
          <w:rFonts w:ascii="Times New Roman" w:hAnsi="Times New Roman" w:cs="Times New Roman"/>
          <w:color w:val="000000" w:themeColor="text1"/>
          <w:sz w:val="24"/>
          <w:szCs w:val="24"/>
          <w:highlight w:val="none"/>
        </w:rPr>
        <w:t xml:space="preserve"> established the white list of key clients for epidemic prevention and control in severely-affected regions; satisfied the credit needs of key enterprises in epidemic prevention and control, livelihood and other related sectors; opened green passages of credit approval and offered preferential policies to listed enterprises for epidemic prevention and control and production recovery purposes. It optimized the conditions and processes for enterprises that were temporarily and severely affected by the epidemic but had a bright development prospect. It implemented differential internal fund transfer price and economic capital evaluation policy; strengthened support to key sectors of the entity economy, including inclusive finance, green development, manufacturing and rural revitalization. It established the "green passage" declaration mechanism for bond underwriting and helped epidemic prevention and control enterprises to raise production funds.</w:t>
      </w:r>
    </w:p>
    <w:p>
      <w:pPr>
        <w:widowControl/>
        <w:snapToGrid w:val="0"/>
        <w:spacing w:beforeLines="50" w:afterLines="50"/>
        <w:rPr>
          <w:rFonts w:hint="eastAsia" w:ascii="Times New Roman" w:hAnsi="Times New Roman" w:cs="Times New Roman"/>
          <w:b/>
          <w:color w:val="000000" w:themeColor="text1"/>
          <w:sz w:val="24"/>
          <w:szCs w:val="24"/>
          <w:highlight w:val="none"/>
        </w:rPr>
      </w:pPr>
      <w:r>
        <w:rPr>
          <w:rFonts w:ascii="Times New Roman" w:hAnsi="Times New Roman" w:cs="Times New Roman"/>
          <w:b/>
          <w:color w:val="000000" w:themeColor="text1"/>
          <w:sz w:val="24"/>
          <w:szCs w:val="24"/>
          <w:highlight w:val="none"/>
        </w:rPr>
        <w:t>Assisted enterprises to settle their troubles and surrendered reasonable benefits to the entity economy.</w:t>
      </w:r>
      <w:r>
        <w:rPr>
          <w:rFonts w:ascii="Times New Roman" w:hAnsi="Times New Roman" w:cs="Times New Roman"/>
          <w:color w:val="000000" w:themeColor="text1"/>
          <w:sz w:val="24"/>
          <w:szCs w:val="24"/>
          <w:highlight w:val="none"/>
        </w:rPr>
        <w:t xml:space="preserve"> CCB increased efforts to pull small and micro businesses out of troubles; reduced charging items and commissions for individual merchants; renewed loans, extended debt services and grace period and adjusted interest-clearing frequency to eligible small and micro businesses according to market principles. It improved and diversified online service scenarios and features of individual property loan; established differential individual loan repayment schedule for those affected by the epidemic; provided four types of alleviating measures, including grace period, lower monthly installment payment, suspension of monthly installment payment and extension of repayment period. For truck drivers and other key clients who are severely affected by the epidemic, adjusted individual loan arrangement according to client needs, extended the repayment period of credit card and provided credit rating protection to eligible clients.</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hint="eastAsia" w:ascii="Times New Roman" w:hAnsi="Times New Roman" w:cs="Times New Roman"/>
          <w:b/>
          <w:bCs/>
          <w:color w:val="000000" w:themeColor="text1"/>
          <w:sz w:val="24"/>
          <w:szCs w:val="24"/>
          <w:highlight w:val="none"/>
        </w:rPr>
        <w:t>CCB effectively served the society &amp; economy and developed key areas.</w:t>
      </w:r>
      <w:r>
        <w:rPr>
          <w:rFonts w:hint="eastAsia" w:ascii="Times New Roman" w:hAnsi="Times New Roman" w:cs="Times New Roman"/>
          <w:b w:val="0"/>
          <w:bCs w:val="0"/>
          <w:color w:val="000000" w:themeColor="text1"/>
          <w:sz w:val="24"/>
          <w:szCs w:val="24"/>
          <w:highlight w:val="none"/>
          <w:lang w:val="en-US" w:eastAsia="zh-CN"/>
        </w:rPr>
        <w:t>It</w:t>
      </w:r>
      <w:r>
        <w:rPr>
          <w:rFonts w:hint="eastAsia" w:ascii="Times New Roman" w:hAnsi="Times New Roman" w:cs="Times New Roman"/>
          <w:b w:val="0"/>
          <w:bCs w:val="0"/>
          <w:color w:val="000000" w:themeColor="text1"/>
          <w:sz w:val="24"/>
          <w:szCs w:val="24"/>
          <w:highlight w:val="none"/>
        </w:rPr>
        <w:t xml:space="preserve"> </w:t>
      </w:r>
      <w:r>
        <w:rPr>
          <w:rFonts w:hint="eastAsia" w:ascii="Times New Roman" w:hAnsi="Times New Roman" w:cs="Times New Roman"/>
          <w:color w:val="000000" w:themeColor="text1"/>
          <w:sz w:val="24"/>
          <w:szCs w:val="24"/>
          <w:highlight w:val="none"/>
        </w:rPr>
        <w:t>constantly optimized resource allocation structure. It focused on the key fields and bottlenecks in the national economy. New loans were mainly distributed to infrastructure, wholesale, retail and manufacturing sectors, etc; technology loans reached RMB one trillion; loans for Beijing, Tianjin and Hebei Province, the Yangtze River Delta, Guangdong-Hong Kong-Macao and other key areas were increased.</w:t>
      </w:r>
      <w:r>
        <w:rPr>
          <w:rFonts w:ascii="Times New Roman" w:hAnsi="Times New Roman" w:cs="Times New Roman"/>
          <w:color w:val="000000" w:themeColor="text1"/>
          <w:sz w:val="24"/>
          <w:szCs w:val="24"/>
          <w:highlight w:val="none"/>
        </w:rPr>
        <w:t xml:space="preserve">As of the end of June, CCB had a domestic corporate </w:t>
      </w:r>
      <w:r>
        <w:rPr>
          <w:rFonts w:ascii="Times New Roman" w:hAnsi="Times New Roman" w:cs="Times New Roman"/>
          <w:color w:val="000000" w:themeColor="text1"/>
          <w:sz w:val="24"/>
          <w:szCs w:val="24"/>
          <w:highlight w:val="none"/>
        </w:rPr>
        <w:t>loans of RMB 10.60 trillion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up by RMB 1.00 trillion or 10.46%</w:t>
      </w:r>
      <w:r>
        <w:rPr>
          <w:rFonts w:ascii="Times New Roman" w:hAnsi="Times New Roman" w:cs="Times New Roman"/>
          <w:color w:val="000000" w:themeColor="text1"/>
          <w:sz w:val="24"/>
          <w:szCs w:val="24"/>
          <w:highlight w:val="none"/>
        </w:rPr>
        <w:t xml:space="preserve"> over the year-end of the previous year. It had a balance of RMB </w:t>
      </w:r>
      <w:r>
        <w:rPr>
          <w:rFonts w:ascii="Times New Roman" w:hAnsi="Times New Roman" w:cs="Times New Roman"/>
          <w:color w:val="000000" w:themeColor="text1"/>
          <w:sz w:val="24"/>
          <w:szCs w:val="24"/>
          <w:highlight w:val="none"/>
        </w:rPr>
        <w:t>5.47 trillion</w:t>
      </w:r>
      <w:r>
        <w:rPr>
          <w:rFonts w:ascii="Times New Roman" w:hAnsi="Times New Roman" w:cs="Times New Roman"/>
          <w:color w:val="000000" w:themeColor="text1"/>
          <w:sz w:val="24"/>
          <w:szCs w:val="24"/>
          <w:highlight w:val="none"/>
        </w:rPr>
        <w:t xml:space="preserve"> in infrastructure loan, </w:t>
      </w:r>
      <w:r>
        <w:rPr>
          <w:rFonts w:ascii="Times New Roman" w:hAnsi="Times New Roman" w:cs="Times New Roman"/>
          <w:color w:val="000000" w:themeColor="text1"/>
          <w:sz w:val="24"/>
          <w:szCs w:val="24"/>
          <w:highlight w:val="none"/>
        </w:rPr>
        <w:t>up by RMB 406.590 billion or 8.02%</w:t>
      </w:r>
      <w:r>
        <w:rPr>
          <w:rFonts w:ascii="Times New Roman" w:hAnsi="Times New Roman" w:cs="Times New Roman"/>
          <w:color w:val="000000" w:themeColor="text1"/>
          <w:sz w:val="24"/>
          <w:szCs w:val="24"/>
          <w:highlight w:val="none"/>
        </w:rPr>
        <w:t xml:space="preserve"> over </w:t>
      </w:r>
      <w:bookmarkStart w:id="2" w:name="_GoBack"/>
      <w:bookmarkEnd w:id="2"/>
      <w:r>
        <w:rPr>
          <w:rFonts w:ascii="Times New Roman" w:hAnsi="Times New Roman" w:cs="Times New Roman"/>
          <w:color w:val="000000" w:themeColor="text1"/>
          <w:sz w:val="24"/>
          <w:szCs w:val="24"/>
          <w:highlight w:val="none"/>
        </w:rPr>
        <w:t xml:space="preserve">the year-end balance of the previous year and accounting for </w:t>
      </w:r>
      <w:r>
        <w:rPr>
          <w:rFonts w:ascii="Times New Roman" w:hAnsi="Times New Roman" w:cs="Times New Roman"/>
          <w:color w:val="000000" w:themeColor="text1"/>
          <w:sz w:val="24"/>
          <w:szCs w:val="24"/>
          <w:highlight w:val="none"/>
        </w:rPr>
        <w:t xml:space="preserve">51.66% </w:t>
      </w:r>
      <w:r>
        <w:rPr>
          <w:rFonts w:ascii="Times New Roman" w:hAnsi="Times New Roman" w:cs="Times New Roman"/>
          <w:color w:val="000000" w:themeColor="text1"/>
          <w:sz w:val="24"/>
          <w:szCs w:val="24"/>
          <w:highlight w:val="none"/>
        </w:rPr>
        <w:t xml:space="preserve">of its loans and advance payments. The </w:t>
      </w:r>
      <w:r>
        <w:rPr>
          <w:rFonts w:ascii="Times New Roman" w:hAnsi="Times New Roman" w:cs="Times New Roman"/>
          <w:color w:val="000000" w:themeColor="text1"/>
          <w:sz w:val="24"/>
          <w:szCs w:val="24"/>
          <w:highlight w:val="none"/>
        </w:rPr>
        <w:t>balance</w:t>
      </w:r>
      <w:r>
        <w:rPr>
          <w:rFonts w:ascii="Times New Roman" w:hAnsi="Times New Roman" w:cs="Times New Roman"/>
          <w:color w:val="000000" w:themeColor="text1"/>
          <w:sz w:val="24"/>
          <w:szCs w:val="24"/>
          <w:highlight w:val="none"/>
        </w:rPr>
        <w:t xml:space="preserve"> of middle and long-term loans to the manufacturing sector was </w:t>
      </w:r>
      <w:r>
        <w:rPr>
          <w:rFonts w:ascii="Times New Roman" w:hAnsi="Times New Roman" w:cs="Times New Roman"/>
          <w:color w:val="000000" w:themeColor="text1"/>
          <w:sz w:val="24"/>
          <w:szCs w:val="24"/>
          <w:highlight w:val="none"/>
        </w:rPr>
        <w:t>RMB 835.932 billion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up by RMB 164.191 billion or 24.44%</w:t>
      </w:r>
      <w:r>
        <w:rPr>
          <w:rFonts w:ascii="Times New Roman" w:hAnsi="Times New Roman" w:cs="Times New Roman"/>
          <w:color w:val="000000" w:themeColor="text1"/>
          <w:sz w:val="24"/>
          <w:szCs w:val="24"/>
          <w:highlight w:val="none"/>
        </w:rPr>
        <w:t xml:space="preserve"> over the year-end balance of the previous year. The balance of loans for private enterprises was </w:t>
      </w:r>
      <w:r>
        <w:rPr>
          <w:rFonts w:ascii="Times New Roman" w:hAnsi="Times New Roman" w:cs="Times New Roman"/>
          <w:color w:val="000000" w:themeColor="text1"/>
          <w:sz w:val="24"/>
          <w:szCs w:val="24"/>
          <w:highlight w:val="none"/>
        </w:rPr>
        <w:t>RMB 4.15 trillion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up by 524.074 billion or 14.45%</w:t>
      </w:r>
      <w:r>
        <w:rPr>
          <w:rFonts w:ascii="Times New Roman" w:hAnsi="Times New Roman" w:cs="Times New Roman"/>
          <w:color w:val="000000" w:themeColor="text1"/>
          <w:sz w:val="24"/>
          <w:szCs w:val="24"/>
          <w:highlight w:val="none"/>
        </w:rPr>
        <w:t xml:space="preserve"> over that at the end of the previous year. The </w:t>
      </w:r>
      <w:r>
        <w:rPr>
          <w:rFonts w:ascii="Times New Roman" w:hAnsi="Times New Roman" w:cs="Times New Roman"/>
          <w:color w:val="000000" w:themeColor="text1"/>
          <w:sz w:val="24"/>
          <w:szCs w:val="24"/>
          <w:highlight w:val="none"/>
        </w:rPr>
        <w:t>balance</w:t>
      </w:r>
      <w:r>
        <w:rPr>
          <w:rFonts w:ascii="Times New Roman" w:hAnsi="Times New Roman" w:cs="Times New Roman"/>
          <w:color w:val="000000" w:themeColor="text1"/>
          <w:sz w:val="24"/>
          <w:szCs w:val="24"/>
          <w:highlight w:val="none"/>
        </w:rPr>
        <w:t xml:space="preserve"> of loans to strategic emerging industries was </w:t>
      </w:r>
      <w:r>
        <w:rPr>
          <w:rFonts w:ascii="Times New Roman" w:hAnsi="Times New Roman" w:cs="Times New Roman"/>
          <w:color w:val="000000" w:themeColor="text1"/>
          <w:sz w:val="24"/>
          <w:szCs w:val="24"/>
          <w:highlight w:val="none"/>
        </w:rPr>
        <w:t>RMB 1.17 trillion, up by RMB 245.770 billion or 26.66%</w:t>
      </w:r>
      <w:r>
        <w:rPr>
          <w:rFonts w:ascii="Times New Roman" w:hAnsi="Times New Roman" w:cs="Times New Roman"/>
          <w:color w:val="000000" w:themeColor="text1"/>
          <w:sz w:val="24"/>
          <w:szCs w:val="24"/>
          <w:highlight w:val="none"/>
        </w:rPr>
        <w:t xml:space="preserve"> over the year-end of the previous year. The </w:t>
      </w:r>
      <w:r>
        <w:rPr>
          <w:rFonts w:ascii="Times New Roman" w:hAnsi="Times New Roman" w:cs="Times New Roman"/>
          <w:color w:val="000000" w:themeColor="text1"/>
          <w:sz w:val="24"/>
          <w:szCs w:val="24"/>
          <w:highlight w:val="none"/>
        </w:rPr>
        <w:t>balance</w:t>
      </w:r>
      <w:r>
        <w:rPr>
          <w:rFonts w:ascii="Times New Roman" w:hAnsi="Times New Roman" w:cs="Times New Roman"/>
          <w:color w:val="000000" w:themeColor="text1"/>
          <w:sz w:val="24"/>
          <w:szCs w:val="24"/>
          <w:highlight w:val="none"/>
        </w:rPr>
        <w:t xml:space="preserve"> of technology loans </w:t>
      </w:r>
      <w:r>
        <w:rPr>
          <w:rFonts w:ascii="Times New Roman" w:hAnsi="Times New Roman" w:cs="Times New Roman"/>
          <w:color w:val="000000" w:themeColor="text1"/>
          <w:sz w:val="24"/>
          <w:szCs w:val="24"/>
          <w:highlight w:val="none"/>
        </w:rPr>
        <w:t>amounted to RMB 1.14 trillion, up by RMB 264.570 billion or 30.07%</w:t>
      </w:r>
      <w:r>
        <w:rPr>
          <w:rFonts w:ascii="Times New Roman" w:hAnsi="Times New Roman" w:cs="Times New Roman"/>
          <w:color w:val="000000" w:themeColor="text1"/>
          <w:sz w:val="24"/>
          <w:szCs w:val="24"/>
          <w:highlight w:val="none"/>
        </w:rPr>
        <w:t xml:space="preserve"> over the year-end of the previous year. It offered a supply chain financial support of </w:t>
      </w:r>
      <w:r>
        <w:rPr>
          <w:rFonts w:ascii="Times New Roman" w:hAnsi="Times New Roman" w:cs="Times New Roman"/>
          <w:color w:val="000000" w:themeColor="text1"/>
          <w:sz w:val="24"/>
          <w:szCs w:val="24"/>
          <w:highlight w:val="none"/>
        </w:rPr>
        <w:t>RMB 438.888 billion</w:t>
      </w:r>
      <w:r>
        <w:rPr>
          <w:rFonts w:ascii="Times New Roman" w:hAnsi="Times New Roman" w:cs="Times New Roman"/>
          <w:color w:val="000000" w:themeColor="text1"/>
          <w:sz w:val="24"/>
          <w:szCs w:val="24"/>
          <w:highlight w:val="none"/>
        </w:rPr>
        <w:t xml:space="preserve"> to over 70,000 clients along the industrial chains of 4,113 core enterprises</w:t>
      </w:r>
      <w:r>
        <w:rPr>
          <w:rFonts w:hint="eastAsia"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in the first half of the year.</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hint="eastAsia" w:ascii="Times New Roman" w:hAnsi="Times New Roman" w:cs="Times New Roman"/>
          <w:b/>
          <w:color w:val="000000" w:themeColor="text1"/>
          <w:sz w:val="24"/>
          <w:szCs w:val="24"/>
          <w:highlight w:val="none"/>
        </w:rPr>
        <w:t>E</w:t>
      </w:r>
      <w:r>
        <w:rPr>
          <w:rFonts w:ascii="Times New Roman" w:hAnsi="Times New Roman" w:cs="Times New Roman"/>
          <w:b/>
          <w:color w:val="000000" w:themeColor="text1"/>
          <w:sz w:val="24"/>
          <w:szCs w:val="24"/>
          <w:highlight w:val="none"/>
        </w:rPr>
        <w:t xml:space="preserve">ffectively met </w:t>
      </w:r>
      <w:r>
        <w:rPr>
          <w:rFonts w:hint="eastAsia" w:ascii="Times New Roman" w:hAnsi="Times New Roman" w:cs="Times New Roman"/>
          <w:b/>
          <w:color w:val="000000" w:themeColor="text1"/>
          <w:sz w:val="24"/>
          <w:szCs w:val="24"/>
          <w:highlight w:val="none"/>
        </w:rPr>
        <w:t>the financial needs of hundreds of millions of customers.</w:t>
      </w:r>
      <w:r>
        <w:rPr>
          <w:rFonts w:ascii="Times New Roman" w:hAnsi="Times New Roman" w:cs="Times New Roman"/>
          <w:color w:val="000000" w:themeColor="text1"/>
          <w:sz w:val="24"/>
          <w:szCs w:val="24"/>
          <w:highlight w:val="none"/>
        </w:rPr>
        <w:t xml:space="preserve"> It stably promoted construction of ecology and further increased its direct and special service ability and an integrated online-offline digitalized service network gradually took shape; established close digital link with clients to accurately master the clients' financial and non-financial needs and carried out the theme events of "Benefit Season" and "Fighting Season". It facilitated construction of a wealth management system and platform; deepened the brand of "CCB Dragon Wealth"; and established an extended wealth management system with CCB features. As of the end of June, the balance of domestic individual deposit accounted for </w:t>
      </w:r>
      <w:r>
        <w:rPr>
          <w:rFonts w:ascii="Times New Roman" w:hAnsi="Times New Roman" w:cs="Times New Roman"/>
          <w:color w:val="000000" w:themeColor="text1"/>
          <w:sz w:val="24"/>
          <w:szCs w:val="24"/>
          <w:highlight w:val="none"/>
        </w:rPr>
        <w:t>RMB</w:t>
      </w:r>
      <w:r>
        <w:rPr>
          <w:rFonts w:hint="eastAsia" w:ascii="Times New Roman" w:hAnsi="Times New Roman" w:cs="Times New Roman"/>
          <w:color w:val="000000" w:themeColor="text1"/>
          <w:sz w:val="24"/>
          <w:szCs w:val="24"/>
          <w:highlight w:val="none"/>
          <w:lang w:val="en-US" w:eastAsia="zh-CN"/>
        </w:rPr>
        <w:t xml:space="preserve"> </w:t>
      </w:r>
      <w:r>
        <w:rPr>
          <w:rFonts w:ascii="Times New Roman" w:hAnsi="Times New Roman" w:cs="Times New Roman"/>
          <w:color w:val="000000" w:themeColor="text1"/>
          <w:sz w:val="24"/>
          <w:szCs w:val="24"/>
          <w:highlight w:val="none"/>
        </w:rPr>
        <w:t>12.36 trillion</w:t>
      </w:r>
      <w:r>
        <w:rPr>
          <w:rFonts w:ascii="Times New Roman" w:hAnsi="Times New Roman" w:cs="Times New Roman"/>
          <w:color w:val="000000" w:themeColor="text1"/>
          <w:sz w:val="24"/>
          <w:szCs w:val="24"/>
          <w:highlight w:val="none"/>
        </w:rPr>
        <w:t xml:space="preserve">, up by </w:t>
      </w:r>
      <w:r>
        <w:rPr>
          <w:rFonts w:ascii="Times New Roman" w:hAnsi="Times New Roman" w:cs="Times New Roman"/>
          <w:color w:val="000000" w:themeColor="text1"/>
          <w:sz w:val="24"/>
          <w:szCs w:val="24"/>
          <w:highlight w:val="none"/>
        </w:rPr>
        <w:t>RMB</w:t>
      </w:r>
      <w:r>
        <w:rPr>
          <w:rFonts w:hint="eastAsia" w:ascii="Times New Roman" w:hAnsi="Times New Roman" w:cs="Times New Roman"/>
          <w:color w:val="000000" w:themeColor="text1"/>
          <w:sz w:val="24"/>
          <w:szCs w:val="24"/>
          <w:highlight w:val="none"/>
          <w:lang w:val="en-US" w:eastAsia="zh-CN"/>
        </w:rPr>
        <w:t xml:space="preserve"> </w:t>
      </w:r>
      <w:r>
        <w:rPr>
          <w:rFonts w:ascii="Times New Roman" w:hAnsi="Times New Roman" w:cs="Times New Roman"/>
          <w:color w:val="000000" w:themeColor="text1"/>
          <w:sz w:val="24"/>
          <w:szCs w:val="24"/>
          <w:highlight w:val="none"/>
        </w:rPr>
        <w:t>1.08 trillion</w:t>
      </w:r>
      <w:r>
        <w:rPr>
          <w:rFonts w:ascii="Times New Roman" w:hAnsi="Times New Roman" w:cs="Times New Roman"/>
          <w:color w:val="000000" w:themeColor="text1"/>
          <w:sz w:val="24"/>
          <w:szCs w:val="24"/>
          <w:highlight w:val="none"/>
        </w:rPr>
        <w:t xml:space="preserve"> over the year-end of the previous year. The individual client's financial assets were more than </w:t>
      </w:r>
      <w:r>
        <w:rPr>
          <w:rFonts w:ascii="Times New Roman" w:hAnsi="Times New Roman" w:cs="Times New Roman"/>
          <w:color w:val="000000" w:themeColor="text1"/>
          <w:sz w:val="24"/>
          <w:szCs w:val="24"/>
          <w:highlight w:val="none"/>
        </w:rPr>
        <w:t>RMB</w:t>
      </w:r>
      <w:r>
        <w:rPr>
          <w:rFonts w:hint="eastAsia" w:ascii="Times New Roman" w:hAnsi="Times New Roman" w:cs="Times New Roman"/>
          <w:color w:val="000000" w:themeColor="text1"/>
          <w:sz w:val="24"/>
          <w:szCs w:val="24"/>
          <w:highlight w:val="none"/>
          <w:lang w:val="en-US" w:eastAsia="zh-CN"/>
        </w:rPr>
        <w:t xml:space="preserve"> </w:t>
      </w:r>
      <w:r>
        <w:rPr>
          <w:rFonts w:ascii="Times New Roman" w:hAnsi="Times New Roman" w:cs="Times New Roman"/>
          <w:color w:val="000000" w:themeColor="text1"/>
          <w:sz w:val="24"/>
          <w:szCs w:val="24"/>
          <w:highlight w:val="none"/>
        </w:rPr>
        <w:t>16 trillion</w:t>
      </w:r>
      <w:r>
        <w:rPr>
          <w:rFonts w:ascii="Times New Roman" w:hAnsi="Times New Roman" w:cs="Times New Roman"/>
          <w:color w:val="000000" w:themeColor="text1"/>
          <w:sz w:val="24"/>
          <w:szCs w:val="24"/>
          <w:highlight w:val="none"/>
        </w:rPr>
        <w:t xml:space="preserve">. It had a </w:t>
      </w:r>
      <w:r>
        <w:rPr>
          <w:rFonts w:ascii="Times New Roman" w:hAnsi="Times New Roman" w:cs="Times New Roman"/>
          <w:color w:val="000000" w:themeColor="text1"/>
          <w:sz w:val="24"/>
          <w:szCs w:val="24"/>
          <w:highlight w:val="none"/>
        </w:rPr>
        <w:t>balance</w:t>
      </w:r>
      <w:r>
        <w:rPr>
          <w:rFonts w:ascii="Times New Roman" w:hAnsi="Times New Roman" w:cs="Times New Roman"/>
          <w:color w:val="000000" w:themeColor="text1"/>
          <w:sz w:val="24"/>
          <w:szCs w:val="24"/>
          <w:highlight w:val="none"/>
        </w:rPr>
        <w:t xml:space="preserve"> of </w:t>
      </w:r>
      <w:r>
        <w:rPr>
          <w:rFonts w:ascii="Times New Roman" w:hAnsi="Times New Roman" w:cs="Times New Roman"/>
          <w:color w:val="000000" w:themeColor="text1"/>
          <w:sz w:val="24"/>
          <w:szCs w:val="24"/>
          <w:highlight w:val="none"/>
        </w:rPr>
        <w:t>RMB 8.09 trillion</w:t>
      </w:r>
      <w:r>
        <w:rPr>
          <w:rFonts w:ascii="Times New Roman" w:hAnsi="Times New Roman" w:cs="Times New Roman"/>
          <w:color w:val="000000" w:themeColor="text1"/>
          <w:sz w:val="24"/>
          <w:szCs w:val="24"/>
          <w:highlight w:val="none"/>
        </w:rPr>
        <w:t xml:space="preserve"> in domestic individual loans, </w:t>
      </w:r>
      <w:r>
        <w:rPr>
          <w:rFonts w:ascii="Times New Roman" w:hAnsi="Times New Roman" w:cs="Times New Roman"/>
          <w:color w:val="000000" w:themeColor="text1"/>
          <w:sz w:val="24"/>
          <w:szCs w:val="24"/>
          <w:highlight w:val="none"/>
        </w:rPr>
        <w:t>up by 2.47%</w:t>
      </w:r>
      <w:r>
        <w:rPr>
          <w:rFonts w:ascii="Times New Roman" w:hAnsi="Times New Roman" w:cs="Times New Roman"/>
          <w:color w:val="000000" w:themeColor="text1"/>
          <w:sz w:val="24"/>
          <w:szCs w:val="24"/>
          <w:highlight w:val="none"/>
        </w:rPr>
        <w:t xml:space="preserve">. Wherein, the balance of individual housing loans was </w:t>
      </w:r>
      <w:r>
        <w:rPr>
          <w:rFonts w:ascii="Times New Roman" w:hAnsi="Times New Roman" w:cs="Times New Roman"/>
          <w:color w:val="000000" w:themeColor="text1"/>
          <w:sz w:val="24"/>
          <w:szCs w:val="24"/>
          <w:highlight w:val="none"/>
        </w:rPr>
        <w:t>6.48 trillion Yuan</w:t>
      </w:r>
      <w:r>
        <w:rPr>
          <w:rFonts w:ascii="Times New Roman" w:hAnsi="Times New Roman" w:cs="Times New Roman"/>
          <w:color w:val="000000" w:themeColor="text1"/>
          <w:sz w:val="24"/>
          <w:szCs w:val="24"/>
          <w:highlight w:val="none"/>
        </w:rPr>
        <w:t xml:space="preserve">; the </w:t>
      </w:r>
      <w:r>
        <w:rPr>
          <w:rFonts w:ascii="Times New Roman" w:hAnsi="Times New Roman" w:cs="Times New Roman"/>
          <w:color w:val="000000" w:themeColor="text1"/>
          <w:sz w:val="24"/>
          <w:szCs w:val="24"/>
          <w:highlight w:val="none"/>
        </w:rPr>
        <w:t xml:space="preserve">balance </w:t>
      </w:r>
      <w:r>
        <w:rPr>
          <w:rFonts w:ascii="Times New Roman" w:hAnsi="Times New Roman" w:cs="Times New Roman"/>
          <w:color w:val="000000" w:themeColor="text1"/>
          <w:sz w:val="24"/>
          <w:szCs w:val="24"/>
          <w:highlight w:val="none"/>
        </w:rPr>
        <w:t xml:space="preserve">of individual consumption loans was </w:t>
      </w:r>
      <w:r>
        <w:rPr>
          <w:rFonts w:ascii="Times New Roman" w:hAnsi="Times New Roman" w:cs="Times New Roman"/>
          <w:color w:val="000000" w:themeColor="text1"/>
          <w:sz w:val="24"/>
          <w:szCs w:val="24"/>
          <w:highlight w:val="none"/>
        </w:rPr>
        <w:t>255.763 billion Yuan</w:t>
      </w:r>
      <w:r>
        <w:rPr>
          <w:rFonts w:ascii="Times New Roman" w:hAnsi="Times New Roman" w:cs="Times New Roman"/>
          <w:color w:val="000000" w:themeColor="text1"/>
          <w:sz w:val="24"/>
          <w:szCs w:val="24"/>
          <w:highlight w:val="none"/>
        </w:rPr>
        <w:t>; the</w:t>
      </w:r>
      <w:r>
        <w:rPr>
          <w:rFonts w:ascii="Times New Roman" w:hAnsi="Times New Roman" w:cs="Times New Roman"/>
          <w:color w:val="000000" w:themeColor="text1"/>
          <w:sz w:val="24"/>
          <w:szCs w:val="24"/>
          <w:highlight w:val="none"/>
        </w:rPr>
        <w:t xml:space="preserve"> balance o</w:t>
      </w:r>
      <w:r>
        <w:rPr>
          <w:rFonts w:ascii="Times New Roman" w:hAnsi="Times New Roman" w:cs="Times New Roman"/>
          <w:color w:val="000000" w:themeColor="text1"/>
          <w:sz w:val="24"/>
          <w:szCs w:val="24"/>
          <w:highlight w:val="none"/>
        </w:rPr>
        <w:t xml:space="preserve">f fast individual loans was </w:t>
      </w:r>
      <w:r>
        <w:rPr>
          <w:rFonts w:ascii="Times New Roman" w:hAnsi="Times New Roman" w:cs="Times New Roman"/>
          <w:color w:val="000000" w:themeColor="text1"/>
          <w:sz w:val="24"/>
          <w:szCs w:val="24"/>
          <w:highlight w:val="none"/>
        </w:rPr>
        <w:t>206.898 billion Yuan</w:t>
      </w:r>
      <w:r>
        <w:rPr>
          <w:rFonts w:ascii="Times New Roman" w:hAnsi="Times New Roman" w:cs="Times New Roman"/>
          <w:color w:val="000000" w:themeColor="text1"/>
          <w:sz w:val="24"/>
          <w:szCs w:val="24"/>
          <w:highlight w:val="none"/>
        </w:rPr>
        <w:t>. The profit of individual banking services accounted for 62.81% of total.</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b/>
          <w:color w:val="000000" w:themeColor="text1"/>
          <w:sz w:val="24"/>
          <w:szCs w:val="24"/>
          <w:highlight w:val="none"/>
        </w:rPr>
        <w:t>Continuously promoted digitalized operation.</w:t>
      </w:r>
      <w:r>
        <w:rPr>
          <w:rFonts w:ascii="Times New Roman" w:hAnsi="Times New Roman" w:cs="Times New Roman"/>
          <w:color w:val="000000" w:themeColor="text1"/>
          <w:sz w:val="24"/>
          <w:szCs w:val="24"/>
          <w:highlight w:val="none"/>
        </w:rPr>
        <w:t xml:space="preserve"> CCB facilitated the construction of three platforms of business, data and technology. It focused on "Three Major Strategies" and the key business sectors and promoted the upgrading of platform operation. It continuously improved the retailing ecology that is oriented with the "Dual" platform of mobile banking service and CCB life APP; facilitated the public domain ecology that had corporate Internet banking and corporate mobile banking. As of the end of June, the number of individual mobile banking users was 428 million, up by 2.53%; there were about 156 million monthly active users in average, 28.072 billion transactions with amount of RMB 43.12 trillion. "CCB Life" APP had over 66 million registered users cumulatively, about 4 million daily active users and nearly 280,000 quality registered merchants; it undertook governmental consumption coupons in a value of RMB 1.224 billion in 133 cities cumulatively. </w:t>
      </w:r>
      <w:r>
        <w:rPr>
          <w:rFonts w:hint="eastAsia" w:ascii="Times New Roman" w:hAnsi="Times New Roman" w:cs="Times New Roman"/>
          <w:color w:val="000000" w:themeColor="text1"/>
          <w:sz w:val="24"/>
          <w:szCs w:val="24"/>
          <w:highlight w:val="none"/>
        </w:rPr>
        <w:t>It a</w:t>
      </w:r>
      <w:r>
        <w:rPr>
          <w:rFonts w:ascii="Times New Roman" w:hAnsi="Times New Roman" w:cs="Times New Roman"/>
          <w:color w:val="000000" w:themeColor="text1"/>
          <w:sz w:val="24"/>
          <w:szCs w:val="24"/>
          <w:highlight w:val="none"/>
        </w:rPr>
        <w:t xml:space="preserve">ctively and stably promoted the pilot R&amp;D program of digital RMB under the central leadership of PBC. CCB preferentially developed an operating environment of digital CNY and established a complete digital CNY purse service system. </w:t>
      </w:r>
    </w:p>
    <w:p>
      <w:pPr>
        <w:snapToGrid w:val="0"/>
        <w:spacing w:beforeLines="50" w:afterLines="50"/>
        <w:rPr>
          <w:rFonts w:ascii="Times New Roman" w:hAnsi="Times New Roman" w:eastAsia="宋体" w:cs="Times New Roman"/>
          <w:color w:val="000000" w:themeColor="text1"/>
          <w:kern w:val="0"/>
          <w:sz w:val="24"/>
          <w:szCs w:val="24"/>
          <w:highlight w:val="none"/>
        </w:rPr>
      </w:pPr>
    </w:p>
    <w:p>
      <w:pPr>
        <w:widowControl/>
        <w:snapToGrid w:val="0"/>
        <w:spacing w:beforeLines="50" w:afterLines="50"/>
        <w:jc w:val="center"/>
        <w:rPr>
          <w:rFonts w:ascii="Times New Roman" w:hAnsi="Times New Roman" w:eastAsia="宋体" w:cs="Times New Roman"/>
          <w:b/>
          <w:color w:val="000000" w:themeColor="text1"/>
          <w:kern w:val="0"/>
          <w:sz w:val="24"/>
          <w:szCs w:val="24"/>
          <w:highlight w:val="none"/>
        </w:rPr>
      </w:pPr>
      <w:r>
        <w:rPr>
          <w:rFonts w:ascii="Times New Roman" w:hAnsi="Times New Roman" w:cs="Times New Roman"/>
          <w:b/>
          <w:color w:val="000000" w:themeColor="text1"/>
          <w:sz w:val="24"/>
          <w:szCs w:val="24"/>
          <w:highlight w:val="none"/>
        </w:rPr>
        <w:t>Stably promoted its strategic businesses</w:t>
      </w:r>
    </w:p>
    <w:p>
      <w:pPr>
        <w:widowControl/>
        <w:snapToGrid w:val="0"/>
        <w:spacing w:beforeLines="50" w:afterLines="50"/>
        <w:jc w:val="center"/>
        <w:rPr>
          <w:rFonts w:hint="default" w:ascii="Times New Roman" w:hAnsi="Times New Roman" w:cs="Times New Roman" w:eastAsiaTheme="minorEastAsia"/>
          <w:b/>
          <w:color w:val="000000" w:themeColor="text1"/>
          <w:kern w:val="0"/>
          <w:sz w:val="24"/>
          <w:szCs w:val="24"/>
          <w:highlight w:val="none"/>
          <w:lang w:val="en-US" w:eastAsia="zh-CN"/>
        </w:rPr>
      </w:pPr>
      <w:bookmarkStart w:id="0" w:name="OLE_LINK1"/>
      <w:r>
        <w:rPr>
          <w:rFonts w:ascii="Times New Roman" w:hAnsi="Times New Roman" w:cs="Times New Roman"/>
          <w:b/>
          <w:color w:val="000000" w:themeColor="text1"/>
          <w:sz w:val="24"/>
          <w:szCs w:val="24"/>
          <w:highlight w:val="none"/>
        </w:rPr>
        <w:t>Effectively improved service quality</w:t>
      </w:r>
      <w:r>
        <w:rPr>
          <w:rFonts w:hint="eastAsia" w:ascii="Times New Roman" w:hAnsi="Times New Roman" w:cs="Times New Roman"/>
          <w:b/>
          <w:color w:val="000000" w:themeColor="text1"/>
          <w:sz w:val="24"/>
          <w:szCs w:val="24"/>
          <w:highlight w:val="none"/>
          <w:lang w:val="en-US" w:eastAsia="zh-CN"/>
        </w:rPr>
        <w:t xml:space="preserve"> and efficiency</w:t>
      </w:r>
      <w:bookmarkEnd w:id="0"/>
    </w:p>
    <w:p>
      <w:pPr>
        <w:widowControl/>
        <w:snapToGrid w:val="0"/>
        <w:spacing w:beforeLines="50" w:afterLines="50"/>
        <w:rPr>
          <w:rFonts w:ascii="Times New Roman" w:hAnsi="Times New Roman" w:eastAsia="宋体" w:cs="Times New Roman"/>
          <w:color w:val="000000" w:themeColor="text1"/>
          <w:kern w:val="0"/>
          <w:sz w:val="24"/>
          <w:szCs w:val="24"/>
          <w:highlight w:val="none"/>
        </w:rPr>
      </w:pPr>
      <w:bookmarkStart w:id="1" w:name="OLE_LINK2"/>
      <w:r>
        <w:rPr>
          <w:rFonts w:ascii="Times New Roman" w:hAnsi="Times New Roman" w:cs="Times New Roman"/>
          <w:color w:val="000000" w:themeColor="text1"/>
          <w:sz w:val="24"/>
          <w:szCs w:val="24"/>
          <w:highlight w:val="none"/>
        </w:rPr>
        <w:t xml:space="preserve">CCB </w:t>
      </w:r>
      <w:r>
        <w:rPr>
          <w:rFonts w:hint="eastAsia" w:ascii="Times New Roman" w:hAnsi="Times New Roman" w:cs="Times New Roman"/>
          <w:color w:val="000000" w:themeColor="text1"/>
          <w:sz w:val="24"/>
          <w:szCs w:val="24"/>
          <w:highlight w:val="none"/>
        </w:rPr>
        <w:t>fully and accurately fulfilled the idea of new development, and considered the country's interests</w:t>
      </w:r>
      <w:r>
        <w:rPr>
          <w:rFonts w:hint="eastAsia" w:ascii="Times New Roman" w:hAnsi="Times New Roman" w:cs="Times New Roman"/>
          <w:color w:val="000000" w:themeColor="text1"/>
          <w:sz w:val="24"/>
          <w:szCs w:val="24"/>
          <w:highlight w:val="none"/>
          <w:lang w:val="en-US" w:eastAsia="zh-CN"/>
        </w:rPr>
        <w:t xml:space="preserve">, </w:t>
      </w:r>
      <w:r>
        <w:rPr>
          <w:rFonts w:ascii="Times New Roman" w:hAnsi="Times New Roman" w:cs="Times New Roman"/>
          <w:color w:val="000000" w:themeColor="text1"/>
          <w:sz w:val="24"/>
          <w:szCs w:val="24"/>
          <w:highlight w:val="none"/>
        </w:rPr>
        <w:t>takes strengthening the ability to serve the country, guard against financial risks and enhance the ability to participate in international competition as the basic guidelines, forcefully advances the "Three Major Strategies" of house rental, inclusive finance and FinTech</w:t>
      </w:r>
      <w:r>
        <w:rPr>
          <w:rFonts w:hint="eastAsia"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 xml:space="preserve">and </w:t>
      </w:r>
      <w:r>
        <w:rPr>
          <w:rFonts w:hint="eastAsia" w:ascii="Times New Roman" w:hAnsi="Times New Roman" w:cs="Times New Roman"/>
          <w:color w:val="000000" w:themeColor="text1"/>
          <w:sz w:val="24"/>
          <w:szCs w:val="24"/>
          <w:highlight w:val="none"/>
          <w:lang w:val="en-US" w:eastAsia="zh-CN"/>
        </w:rPr>
        <w:t>e</w:t>
      </w:r>
      <w:r>
        <w:rPr>
          <w:rFonts w:hint="eastAsia" w:ascii="Times New Roman" w:hAnsi="Times New Roman" w:cs="Times New Roman"/>
          <w:color w:val="000000" w:themeColor="text1"/>
          <w:sz w:val="24"/>
          <w:szCs w:val="24"/>
          <w:highlight w:val="none"/>
        </w:rPr>
        <w:t>ffectively improve</w:t>
      </w:r>
      <w:r>
        <w:rPr>
          <w:rFonts w:hint="eastAsia" w:ascii="Times New Roman" w:hAnsi="Times New Roman" w:cs="Times New Roman"/>
          <w:color w:val="000000" w:themeColor="text1"/>
          <w:sz w:val="24"/>
          <w:szCs w:val="24"/>
          <w:highlight w:val="none"/>
          <w:lang w:val="en-US" w:eastAsia="zh-CN"/>
        </w:rPr>
        <w:t>s</w:t>
      </w:r>
      <w:r>
        <w:rPr>
          <w:rFonts w:hint="eastAsia" w:ascii="Times New Roman" w:hAnsi="Times New Roman" w:cs="Times New Roman"/>
          <w:color w:val="000000" w:themeColor="text1"/>
          <w:sz w:val="24"/>
          <w:szCs w:val="24"/>
          <w:highlight w:val="none"/>
        </w:rPr>
        <w:t xml:space="preserve"> service quality and efficiency</w:t>
      </w:r>
      <w:r>
        <w:rPr>
          <w:rFonts w:ascii="Times New Roman" w:hAnsi="Times New Roman" w:cs="Times New Roman"/>
          <w:color w:val="000000" w:themeColor="text1"/>
          <w:sz w:val="24"/>
          <w:szCs w:val="24"/>
          <w:highlight w:val="none"/>
        </w:rPr>
        <w:t xml:space="preserve"> of entity economy.</w:t>
      </w:r>
    </w:p>
    <w:bookmarkEnd w:id="1"/>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b/>
          <w:color w:val="000000" w:themeColor="text1"/>
          <w:sz w:val="24"/>
          <w:szCs w:val="24"/>
          <w:highlight w:val="none"/>
        </w:rPr>
        <w:t>Stable progress of house lease strategy.</w:t>
      </w:r>
      <w:r>
        <w:rPr>
          <w:rFonts w:ascii="Times New Roman" w:hAnsi="Times New Roman" w:cs="Times New Roman"/>
          <w:color w:val="000000" w:themeColor="text1"/>
          <w:sz w:val="24"/>
          <w:szCs w:val="24"/>
          <w:highlight w:val="none"/>
        </w:rPr>
        <w:t xml:space="preserve"> As of the end of June, its house lease service platform covered 96% administrative zones of a local and higher level, offering a transparent trading platform to 15,000 corporate and 40.34 million individual landowners and tenants and an effective market regulatory tool for the government. There are</w:t>
      </w:r>
      <w:r>
        <w:rPr>
          <w:rFonts w:ascii="Times New Roman" w:hAnsi="Times New Roman" w:cs="Times New Roman"/>
          <w:color w:val="000000" w:themeColor="text1"/>
          <w:sz w:val="24"/>
          <w:szCs w:val="24"/>
          <w:highlight w:val="none"/>
        </w:rPr>
        <w:t xml:space="preserve"> 200 communities </w:t>
      </w:r>
      <w:r>
        <w:rPr>
          <w:rFonts w:ascii="Times New Roman" w:hAnsi="Times New Roman" w:cs="Times New Roman"/>
          <w:color w:val="000000" w:themeColor="text1"/>
          <w:sz w:val="24"/>
          <w:szCs w:val="24"/>
          <w:highlight w:val="none"/>
        </w:rPr>
        <w:t xml:space="preserve">for long-term lease called "CCB JIANGONGJIAYUAN" in service. CCB aggressively supported the development of discount leasable house; interfaced with over 500 discount leasable house in major cities nationwide; offered special loans to increase the supply of low-rental small apartments; and assisted to settle the residential needs of new citizens and young people. As of the end of June, </w:t>
      </w:r>
      <w:r>
        <w:rPr>
          <w:rFonts w:ascii="Times New Roman" w:hAnsi="Times New Roman" w:cs="Times New Roman"/>
          <w:color w:val="000000" w:themeColor="text1"/>
          <w:sz w:val="24"/>
          <w:szCs w:val="24"/>
          <w:highlight w:val="none"/>
        </w:rPr>
        <w:t>the balance of property lease loans amounted to RMB 180.617 billion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up by RMB 47.156 billion or 35.33%</w:t>
      </w:r>
      <w:r>
        <w:rPr>
          <w:rFonts w:ascii="Times New Roman" w:hAnsi="Times New Roman" w:cs="Times New Roman"/>
          <w:color w:val="000000" w:themeColor="text1"/>
          <w:sz w:val="24"/>
          <w:szCs w:val="24"/>
          <w:highlight w:val="none"/>
        </w:rPr>
        <w:t xml:space="preserve"> over that at the end of last year.</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b/>
          <w:color w:val="000000" w:themeColor="text1"/>
          <w:sz w:val="24"/>
          <w:szCs w:val="24"/>
          <w:highlight w:val="none"/>
        </w:rPr>
        <w:t>Notable results of inclusive financial strategy.</w:t>
      </w:r>
      <w:r>
        <w:rPr>
          <w:rFonts w:ascii="Times New Roman" w:hAnsi="Times New Roman" w:cs="Times New Roman"/>
          <w:color w:val="000000" w:themeColor="text1"/>
          <w:sz w:val="24"/>
          <w:szCs w:val="24"/>
          <w:highlight w:val="none"/>
        </w:rPr>
        <w:t xml:space="preserve"> CCB continuously improved the digital inclusive financial mode; availed digital technologies to continuously optimize "CCB Huidongni" APP. Its APP had</w:t>
      </w:r>
      <w:r>
        <w:rPr>
          <w:rFonts w:hint="eastAsia" w:ascii="Times New Roman" w:hAnsi="Times New Roman" w:cs="Times New Roman"/>
          <w:color w:val="000000" w:themeColor="text1"/>
          <w:sz w:val="24"/>
          <w:szCs w:val="24"/>
          <w:highlight w:val="none"/>
        </w:rPr>
        <w:t xml:space="preserve"> over</w:t>
      </w:r>
      <w:r>
        <w:rPr>
          <w:rFonts w:ascii="Times New Roman" w:hAnsi="Times New Roman" w:cs="Times New Roman"/>
          <w:color w:val="000000" w:themeColor="text1"/>
          <w:sz w:val="24"/>
          <w:szCs w:val="24"/>
          <w:highlight w:val="none"/>
        </w:rPr>
        <w:t xml:space="preserve"> 170 million visits, 22.50 million downloads, over 1.65 million credit clients and a credit value of over </w:t>
      </w:r>
      <w:r>
        <w:rPr>
          <w:rFonts w:ascii="Times New Roman" w:hAnsi="Times New Roman" w:cs="Times New Roman"/>
          <w:color w:val="000000" w:themeColor="text1"/>
          <w:sz w:val="24"/>
          <w:szCs w:val="24"/>
          <w:highlight w:val="none"/>
        </w:rPr>
        <w:t xml:space="preserve">RMB 1.3 trillion </w:t>
      </w:r>
      <w:r>
        <w:rPr>
          <w:rFonts w:ascii="Times New Roman" w:hAnsi="Times New Roman" w:cs="Times New Roman"/>
          <w:color w:val="000000" w:themeColor="text1"/>
          <w:sz w:val="24"/>
          <w:szCs w:val="24"/>
          <w:highlight w:val="none"/>
        </w:rPr>
        <w:t xml:space="preserve">cumulatively. CCB focused on small and micro businesses, small businesses of industry and commerce, farming-related clients, upstream and downstream clients along the supply chain and other target groups of inclusive finance; diversified the system of products, including "Rapid Loan for Small and Micro Businesses". Since launch of the product, it has served 3.0219 million clients and provided a total credit of </w:t>
      </w:r>
      <w:r>
        <w:rPr>
          <w:rFonts w:ascii="Times New Roman" w:hAnsi="Times New Roman" w:cs="Times New Roman"/>
          <w:color w:val="000000" w:themeColor="text1"/>
          <w:sz w:val="24"/>
          <w:szCs w:val="24"/>
          <w:highlight w:val="none"/>
        </w:rPr>
        <w:t xml:space="preserve">RMB 7.41 trillion </w:t>
      </w:r>
      <w:r>
        <w:rPr>
          <w:rFonts w:ascii="Times New Roman" w:hAnsi="Times New Roman" w:cs="Times New Roman"/>
          <w:color w:val="000000" w:themeColor="text1"/>
          <w:sz w:val="24"/>
          <w:szCs w:val="24"/>
          <w:highlight w:val="none"/>
        </w:rPr>
        <w:t xml:space="preserve">cumulatively. CCB enhanced the ability to serve technological innovation; supported medium, small and micro clients in technological innovation; improved the service mode of "Entrepreneurs’ Harbor" which has been promoted to 25 provinces and cities; offered a credit of over </w:t>
      </w:r>
      <w:r>
        <w:rPr>
          <w:rFonts w:ascii="Times New Roman" w:hAnsi="Times New Roman" w:cs="Times New Roman"/>
          <w:color w:val="000000" w:themeColor="text1"/>
          <w:sz w:val="24"/>
          <w:szCs w:val="24"/>
          <w:highlight w:val="none"/>
        </w:rPr>
        <w:t xml:space="preserve">RMB 37 billion </w:t>
      </w:r>
      <w:r>
        <w:rPr>
          <w:rFonts w:ascii="Times New Roman" w:hAnsi="Times New Roman" w:cs="Times New Roman"/>
          <w:color w:val="000000" w:themeColor="text1"/>
          <w:sz w:val="24"/>
          <w:szCs w:val="24"/>
          <w:highlight w:val="none"/>
        </w:rPr>
        <w:t xml:space="preserve">to </w:t>
      </w:r>
      <w:r>
        <w:rPr>
          <w:rFonts w:hint="eastAsia" w:ascii="Times New Roman" w:hAnsi="Times New Roman" w:cs="Times New Roman"/>
          <w:color w:val="000000" w:themeColor="text1"/>
          <w:sz w:val="24"/>
          <w:szCs w:val="24"/>
          <w:highlight w:val="none"/>
        </w:rPr>
        <w:t xml:space="preserve">over </w:t>
      </w:r>
      <w:r>
        <w:rPr>
          <w:rFonts w:ascii="Times New Roman" w:hAnsi="Times New Roman" w:cs="Times New Roman"/>
          <w:color w:val="000000" w:themeColor="text1"/>
          <w:sz w:val="24"/>
          <w:szCs w:val="24"/>
          <w:highlight w:val="none"/>
        </w:rPr>
        <w:t>15,000</w:t>
      </w:r>
      <w:r>
        <w:rPr>
          <w:rFonts w:ascii="Times New Roman" w:hAnsi="Times New Roman" w:cs="Times New Roman"/>
          <w:color w:val="000000" w:themeColor="text1"/>
          <w:sz w:val="24"/>
          <w:szCs w:val="24"/>
          <w:highlight w:val="none"/>
        </w:rPr>
        <w:t xml:space="preserve"> enterprises covered by the Harbor. As of the end of June, it had a </w:t>
      </w:r>
      <w:r>
        <w:rPr>
          <w:rFonts w:ascii="Times New Roman" w:hAnsi="Times New Roman" w:cs="Times New Roman"/>
          <w:color w:val="000000" w:themeColor="text1"/>
          <w:sz w:val="24"/>
          <w:szCs w:val="24"/>
          <w:highlight w:val="none"/>
        </w:rPr>
        <w:t>balance of RMB</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2.14 trillion</w:t>
      </w:r>
      <w:r>
        <w:rPr>
          <w:rFonts w:ascii="Times New Roman" w:hAnsi="Times New Roman" w:cs="Times New Roman"/>
          <w:color w:val="000000" w:themeColor="text1"/>
          <w:sz w:val="24"/>
          <w:szCs w:val="24"/>
          <w:highlight w:val="none"/>
        </w:rPr>
        <w:t xml:space="preserve"> in inclusive financial loan, </w:t>
      </w:r>
      <w:r>
        <w:rPr>
          <w:rFonts w:ascii="Times New Roman" w:hAnsi="Times New Roman" w:cs="Times New Roman"/>
          <w:color w:val="000000" w:themeColor="text1"/>
          <w:sz w:val="24"/>
          <w:szCs w:val="24"/>
          <w:highlight w:val="none"/>
        </w:rPr>
        <w:t>up by RMB 267.058 billion or 14.25%</w:t>
      </w:r>
      <w:r>
        <w:rPr>
          <w:rFonts w:ascii="Times New Roman" w:hAnsi="Times New Roman" w:cs="Times New Roman"/>
          <w:color w:val="000000" w:themeColor="text1"/>
          <w:sz w:val="24"/>
          <w:szCs w:val="24"/>
          <w:highlight w:val="none"/>
        </w:rPr>
        <w:t xml:space="preserve"> over the year-end balance of the previous year; totally 2.2520 million clients of inclusive financial loan, up by 315,300 over those at the end of the previous year. The profits to the entity economy are further surrendered. The loan interest rate for small and micro businesses that were fit for inclusive finance newly granted in the first half of the year was </w:t>
      </w:r>
      <w:r>
        <w:rPr>
          <w:rFonts w:ascii="Times New Roman" w:hAnsi="Times New Roman" w:cs="Times New Roman"/>
          <w:color w:val="000000" w:themeColor="text1"/>
          <w:sz w:val="24"/>
          <w:szCs w:val="24"/>
          <w:highlight w:val="none"/>
        </w:rPr>
        <w:t>4.08%</w:t>
      </w:r>
      <w:r>
        <w:rPr>
          <w:rFonts w:ascii="Times New Roman" w:hAnsi="Times New Roman" w:cs="Times New Roman"/>
          <w:color w:val="000000" w:themeColor="text1"/>
          <w:sz w:val="24"/>
          <w:szCs w:val="24"/>
          <w:highlight w:val="none"/>
        </w:rPr>
        <w:t xml:space="preserve">, decreased by </w:t>
      </w:r>
      <w:r>
        <w:rPr>
          <w:rFonts w:ascii="Times New Roman" w:hAnsi="Times New Roman" w:cs="Times New Roman"/>
          <w:color w:val="000000" w:themeColor="text1"/>
          <w:sz w:val="24"/>
          <w:szCs w:val="24"/>
          <w:highlight w:val="none"/>
        </w:rPr>
        <w:t>8 base points</w:t>
      </w:r>
      <w:r>
        <w:rPr>
          <w:rFonts w:ascii="Times New Roman" w:hAnsi="Times New Roman" w:cs="Times New Roman"/>
          <w:color w:val="000000" w:themeColor="text1"/>
          <w:sz w:val="24"/>
          <w:szCs w:val="24"/>
          <w:highlight w:val="none"/>
        </w:rPr>
        <w:t xml:space="preserve"> as compared with the previous year.</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b/>
          <w:color w:val="000000" w:themeColor="text1"/>
          <w:sz w:val="24"/>
          <w:szCs w:val="24"/>
          <w:highlight w:val="none"/>
        </w:rPr>
        <w:t>Forceful development of FinTech strategy.</w:t>
      </w:r>
      <w:r>
        <w:rPr>
          <w:rFonts w:ascii="Times New Roman" w:hAnsi="Times New Roman" w:cs="Times New Roman"/>
          <w:color w:val="000000" w:themeColor="text1"/>
          <w:sz w:val="24"/>
          <w:szCs w:val="24"/>
          <w:highlight w:val="none"/>
        </w:rPr>
        <w:t xml:space="preserve"> CCB continuously enhanced the independent controllability of information system and increased the safety and stability of system operation to enable the quality development of its businesses. CCB facilitated its digital infrastructure construction and cloud transformation and continuously developed the brand of "CCB Cloud". Standard hashrate scale increased by over 20% over that at the end of the previous year, the overall scale and service capability stayed ahead in the industry. As of the end of June, it acquired 934 patents cumulatively, including 540 invention patents, leading in the domestic banking industry. CCB Fintech is the only enterprise of the financial system included in the catalog of "model enterprise of scientific reform" released by the Office of State-owned Enterprise Reform Leadership Panel under the State Council. </w:t>
      </w:r>
      <w:r>
        <w:rPr>
          <w:rFonts w:hint="eastAsia" w:ascii="Times New Roman" w:hAnsi="Times New Roman" w:cs="Times New Roman"/>
          <w:color w:val="000000" w:themeColor="text1"/>
          <w:sz w:val="24"/>
          <w:szCs w:val="24"/>
          <w:highlight w:val="none"/>
        </w:rPr>
        <w:t>It s</w:t>
      </w:r>
      <w:r>
        <w:rPr>
          <w:rFonts w:ascii="Times New Roman" w:hAnsi="Times New Roman" w:cs="Times New Roman"/>
          <w:color w:val="000000" w:themeColor="text1"/>
          <w:sz w:val="24"/>
          <w:szCs w:val="24"/>
          <w:highlight w:val="none"/>
        </w:rPr>
        <w:t xml:space="preserve">trengthened smart government, enhanced social and livelihood service assurance and established new routes of serving digital government. As of the end of June, CCB established partnerships with 29 provincial governments cumulatively and participated in the development of the "Internet+ governmental service" and "Internet+ regulation" platforms or scenarios of application for 14 provinces and 13 cities. It shared outlet system to establish the "governmental service hall by your side"; over 14,000 service outlets of the CCB offered governmental services, covering the handling, appointment and inquiry services of over 7,700 service items and with a total business volume of over 61 million transactions and 26 million serviced clients. CCB is the first to establish the "Inter-provincial Government Services" zone with its smart ATMs, covering 31 provinces, autonomous regions and municipalities nationwide. </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b/>
          <w:color w:val="000000" w:themeColor="text1"/>
          <w:sz w:val="24"/>
          <w:szCs w:val="24"/>
          <w:highlight w:val="none"/>
        </w:rPr>
        <w:t>Continuous increase in green financing.</w:t>
      </w:r>
      <w:r>
        <w:rPr>
          <w:rFonts w:ascii="Times New Roman" w:hAnsi="Times New Roman" w:cs="Times New Roman"/>
          <w:color w:val="000000" w:themeColor="text1"/>
          <w:sz w:val="24"/>
          <w:szCs w:val="24"/>
          <w:highlight w:val="none"/>
        </w:rPr>
        <w:t xml:space="preserve"> CCB established the CCB Strategic Development Plan for Green Finance; proposed the general strategic goal of becoming "a world-leading sustainable bank" and fifteen key tasks. At the end of June, the </w:t>
      </w:r>
      <w:r>
        <w:rPr>
          <w:rFonts w:ascii="Times New Roman" w:hAnsi="Times New Roman" w:cs="Times New Roman"/>
          <w:color w:val="000000" w:themeColor="text1"/>
          <w:sz w:val="24"/>
          <w:szCs w:val="24"/>
          <w:highlight w:val="none"/>
        </w:rPr>
        <w:t>balance</w:t>
      </w:r>
      <w:r>
        <w:rPr>
          <w:rFonts w:ascii="Times New Roman" w:hAnsi="Times New Roman" w:cs="Times New Roman"/>
          <w:color w:val="000000" w:themeColor="text1"/>
          <w:sz w:val="24"/>
          <w:szCs w:val="24"/>
          <w:highlight w:val="none"/>
        </w:rPr>
        <w:t xml:space="preserve"> of green loans was </w:t>
      </w:r>
      <w:r>
        <w:rPr>
          <w:rFonts w:ascii="Times New Roman" w:hAnsi="Times New Roman" w:cs="Times New Roman"/>
          <w:color w:val="000000" w:themeColor="text1"/>
          <w:sz w:val="24"/>
          <w:szCs w:val="24"/>
          <w:highlight w:val="none"/>
        </w:rPr>
        <w:t>RMB 2.41 trillion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up by RMB 450.189 billion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or 22.93%</w:t>
      </w:r>
      <w:r>
        <w:rPr>
          <w:rFonts w:ascii="Times New Roman" w:hAnsi="Times New Roman" w:cs="Times New Roman"/>
          <w:color w:val="000000" w:themeColor="text1"/>
          <w:sz w:val="24"/>
          <w:szCs w:val="24"/>
          <w:highlight w:val="none"/>
        </w:rPr>
        <w:t xml:space="preserve"> over the year-end balance of the previous year; it distributed </w:t>
      </w:r>
      <w:r>
        <w:rPr>
          <w:rFonts w:ascii="Times New Roman" w:hAnsi="Times New Roman" w:cs="Times New Roman"/>
          <w:color w:val="000000" w:themeColor="text1"/>
          <w:sz w:val="24"/>
          <w:szCs w:val="24"/>
          <w:highlight w:val="none"/>
        </w:rPr>
        <w:t>RMB 56.223 billion</w:t>
      </w:r>
      <w:r>
        <w:rPr>
          <w:rFonts w:ascii="Times New Roman" w:hAnsi="Times New Roman" w:cs="Times New Roman"/>
          <w:color w:val="000000" w:themeColor="text1"/>
          <w:sz w:val="24"/>
          <w:szCs w:val="24"/>
          <w:highlight w:val="none"/>
        </w:rPr>
        <w:t xml:space="preserve"> in loans for carbon emission reduction and </w:t>
      </w:r>
      <w:r>
        <w:rPr>
          <w:rFonts w:ascii="Times New Roman" w:hAnsi="Times New Roman" w:cs="Times New Roman"/>
          <w:color w:val="000000" w:themeColor="text1"/>
          <w:sz w:val="24"/>
          <w:szCs w:val="24"/>
          <w:highlight w:val="none"/>
        </w:rPr>
        <w:t>RMB 4.047 billion</w:t>
      </w:r>
      <w:r>
        <w:rPr>
          <w:rFonts w:ascii="Times New Roman" w:hAnsi="Times New Roman" w:cs="Times New Roman"/>
          <w:color w:val="000000" w:themeColor="text1"/>
          <w:sz w:val="24"/>
          <w:szCs w:val="24"/>
          <w:highlight w:val="none"/>
        </w:rPr>
        <w:t xml:space="preserve"> for clean and efficient use of coals cumulatively; continuously optimized the white list of green lending and distributed </w:t>
      </w:r>
      <w:r>
        <w:rPr>
          <w:rFonts w:ascii="Times New Roman" w:hAnsi="Times New Roman" w:cs="Times New Roman"/>
          <w:color w:val="000000" w:themeColor="text1"/>
          <w:sz w:val="24"/>
          <w:szCs w:val="24"/>
          <w:highlight w:val="none"/>
        </w:rPr>
        <w:t>RMB 357.9 billion</w:t>
      </w:r>
      <w:r>
        <w:rPr>
          <w:rFonts w:ascii="Times New Roman" w:hAnsi="Times New Roman" w:cs="Times New Roman"/>
          <w:color w:val="000000" w:themeColor="text1"/>
          <w:sz w:val="24"/>
          <w:szCs w:val="24"/>
          <w:highlight w:val="none"/>
        </w:rPr>
        <w:t xml:space="preserve"> in green lending cumulatively. It successfully issued green financial bonds in RMB 10 billion; issued the twin-currency "Belt &amp; Road" green bonds overseas to raise a total fund of </w:t>
      </w:r>
      <w:r>
        <w:rPr>
          <w:rFonts w:ascii="Times New Roman" w:hAnsi="Times New Roman" w:cs="Times New Roman"/>
          <w:color w:val="000000" w:themeColor="text1"/>
          <w:sz w:val="24"/>
          <w:szCs w:val="24"/>
          <w:highlight w:val="none"/>
        </w:rPr>
        <w:t>USD 1.67 billion</w:t>
      </w:r>
      <w:r>
        <w:rPr>
          <w:rFonts w:ascii="Times New Roman" w:hAnsi="Times New Roman" w:cs="Times New Roman"/>
          <w:color w:val="000000" w:themeColor="text1"/>
          <w:sz w:val="24"/>
          <w:szCs w:val="24"/>
          <w:highlight w:val="none"/>
        </w:rPr>
        <w:t xml:space="preserve">; underwrote 23 issues of green debt financing vehicles, with a total issuing scale of </w:t>
      </w:r>
      <w:r>
        <w:rPr>
          <w:rFonts w:ascii="Times New Roman" w:hAnsi="Times New Roman" w:cs="Times New Roman"/>
          <w:color w:val="000000" w:themeColor="text1"/>
          <w:sz w:val="24"/>
          <w:szCs w:val="24"/>
          <w:highlight w:val="none"/>
        </w:rPr>
        <w:t>RMB 25.771 billion</w:t>
      </w:r>
      <w:r>
        <w:rPr>
          <w:rFonts w:ascii="Times New Roman" w:hAnsi="Times New Roman" w:cs="Times New Roman"/>
          <w:color w:val="000000" w:themeColor="text1"/>
          <w:sz w:val="24"/>
          <w:szCs w:val="24"/>
          <w:highlight w:val="none"/>
        </w:rPr>
        <w:t xml:space="preserve"> and an underwritten value of RMB </w:t>
      </w:r>
      <w:r>
        <w:rPr>
          <w:rFonts w:ascii="Times New Roman" w:hAnsi="Times New Roman" w:cs="Times New Roman"/>
          <w:color w:val="000000" w:themeColor="text1"/>
          <w:sz w:val="24"/>
          <w:szCs w:val="24"/>
          <w:highlight w:val="none"/>
        </w:rPr>
        <w:t>16.311 billion</w:t>
      </w:r>
      <w:r>
        <w:rPr>
          <w:rFonts w:ascii="Times New Roman" w:hAnsi="Times New Roman" w:cs="Times New Roman"/>
          <w:color w:val="000000" w:themeColor="text1"/>
          <w:sz w:val="24"/>
          <w:szCs w:val="24"/>
          <w:highlight w:val="none"/>
        </w:rPr>
        <w:t>.</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b/>
          <w:color w:val="000000" w:themeColor="text1"/>
          <w:sz w:val="24"/>
          <w:szCs w:val="24"/>
          <w:highlight w:val="none"/>
        </w:rPr>
        <w:t>Continuously improved the service system of rural revitalization.</w:t>
      </w:r>
      <w:r>
        <w:rPr>
          <w:rFonts w:ascii="Times New Roman" w:hAnsi="Times New Roman" w:cs="Times New Roman"/>
          <w:color w:val="000000" w:themeColor="text1"/>
          <w:sz w:val="24"/>
          <w:szCs w:val="24"/>
          <w:highlight w:val="none"/>
        </w:rPr>
        <w:t xml:space="preserve"> As of the end of June, there were totally 490,000 service points of inclusive financing program "Yu Nong Tong", covering nearly 80% towns and villages nationwide; "Yu Nong Tong" APP had 3.17 million registered users and distributed </w:t>
      </w:r>
      <w:r>
        <w:rPr>
          <w:rFonts w:ascii="Times New Roman" w:hAnsi="Times New Roman" w:cs="Times New Roman"/>
          <w:color w:val="000000" w:themeColor="text1"/>
          <w:sz w:val="24"/>
          <w:szCs w:val="24"/>
          <w:highlight w:val="none"/>
        </w:rPr>
        <w:t>a loan of RMB 11.826 billion and handled a payment of RMB 281 million</w:t>
      </w:r>
      <w:r>
        <w:rPr>
          <w:rFonts w:ascii="Times New Roman" w:hAnsi="Times New Roman" w:cs="Times New Roman"/>
          <w:color w:val="000000" w:themeColor="text1"/>
          <w:sz w:val="24"/>
          <w:szCs w:val="24"/>
          <w:highlight w:val="none"/>
        </w:rPr>
        <w:t xml:space="preserve"> cumulatively; 18.36 million "Rural Revitalization: Yu Nong Tong Cards" were issued to key individuals of innovation and venturing cumulatively. The two farmer product packages, i.e. : online "Yunong Quick Loan" and offline "Yunong Loan", were continuously diversified to deepen the financial ability to serve farmers. As of the end of June, </w:t>
      </w:r>
      <w:r>
        <w:rPr>
          <w:rFonts w:ascii="Times New Roman" w:hAnsi="Times New Roman" w:cs="Times New Roman"/>
          <w:color w:val="000000" w:themeColor="text1"/>
          <w:sz w:val="24"/>
          <w:szCs w:val="24"/>
          <w:highlight w:val="none"/>
        </w:rPr>
        <w:t>the balance of farming-related loans was RMB 2.77 trillion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up by RMB 305.003 billion or 12.37%</w:t>
      </w:r>
      <w:r>
        <w:rPr>
          <w:rFonts w:ascii="Times New Roman" w:hAnsi="Times New Roman" w:cs="Times New Roman"/>
          <w:color w:val="000000" w:themeColor="text1"/>
          <w:sz w:val="24"/>
          <w:szCs w:val="24"/>
          <w:highlight w:val="none"/>
        </w:rPr>
        <w:t xml:space="preserve"> over the year-end balance of the previous year; there were 2.69 million clients of farming-related loans and the newly-distributed farming-related loans had an interest rate of </w:t>
      </w:r>
      <w:r>
        <w:rPr>
          <w:rFonts w:ascii="Times New Roman" w:hAnsi="Times New Roman" w:cs="Times New Roman"/>
          <w:color w:val="000000" w:themeColor="text1"/>
          <w:sz w:val="24"/>
          <w:szCs w:val="24"/>
          <w:highlight w:val="none"/>
        </w:rPr>
        <w:t>4.08%</w:t>
      </w:r>
      <w:r>
        <w:rPr>
          <w:rFonts w:ascii="Times New Roman" w:hAnsi="Times New Roman" w:cs="Times New Roman"/>
          <w:color w:val="000000" w:themeColor="text1"/>
          <w:sz w:val="24"/>
          <w:szCs w:val="24"/>
          <w:highlight w:val="none"/>
        </w:rPr>
        <w:t xml:space="preserve"> in the first half of the year, down by </w:t>
      </w:r>
      <w:r>
        <w:rPr>
          <w:rFonts w:ascii="Times New Roman" w:hAnsi="Times New Roman" w:cs="Times New Roman"/>
          <w:color w:val="000000" w:themeColor="text1"/>
          <w:sz w:val="24"/>
          <w:szCs w:val="24"/>
          <w:highlight w:val="none"/>
        </w:rPr>
        <w:t>22</w:t>
      </w:r>
      <w:r>
        <w:rPr>
          <w:rFonts w:ascii="Times New Roman" w:hAnsi="Times New Roman" w:cs="Times New Roman"/>
          <w:color w:val="000000" w:themeColor="text1"/>
          <w:sz w:val="24"/>
          <w:szCs w:val="24"/>
          <w:highlight w:val="none"/>
        </w:rPr>
        <w:t xml:space="preserve"> base points compared with that at the end of the previous year. Meanwhile, it continuously released the powers of sustainable development for the countryside through strengthening supports to projects concerning the public good.</w:t>
      </w:r>
    </w:p>
    <w:p>
      <w:pPr>
        <w:widowControl/>
        <w:snapToGrid w:val="0"/>
        <w:spacing w:beforeLines="50" w:afterLines="50"/>
        <w:rPr>
          <w:rFonts w:ascii="Times New Roman" w:hAnsi="Times New Roman" w:eastAsia="宋体" w:cs="Times New Roman"/>
          <w:b/>
          <w:color w:val="000000" w:themeColor="text1"/>
          <w:kern w:val="0"/>
          <w:sz w:val="24"/>
          <w:szCs w:val="24"/>
          <w:highlight w:val="none"/>
          <w:lang w:val="en-GB"/>
        </w:rPr>
      </w:pPr>
    </w:p>
    <w:p>
      <w:pPr>
        <w:widowControl/>
        <w:snapToGrid w:val="0"/>
        <w:spacing w:beforeLines="50" w:afterLines="50"/>
        <w:jc w:val="center"/>
        <w:rPr>
          <w:rFonts w:ascii="Times New Roman" w:hAnsi="Times New Roman" w:eastAsia="宋体" w:cs="Times New Roman"/>
          <w:b/>
          <w:color w:val="000000" w:themeColor="text1"/>
          <w:kern w:val="0"/>
          <w:sz w:val="24"/>
          <w:szCs w:val="24"/>
          <w:highlight w:val="none"/>
        </w:rPr>
      </w:pPr>
      <w:r>
        <w:rPr>
          <w:rFonts w:ascii="Times New Roman" w:hAnsi="Times New Roman" w:cs="Times New Roman"/>
          <w:b/>
          <w:color w:val="000000" w:themeColor="text1"/>
          <w:sz w:val="24"/>
          <w:szCs w:val="24"/>
          <w:highlight w:val="none"/>
        </w:rPr>
        <w:t xml:space="preserve">All-around and active risk management and control </w:t>
      </w:r>
    </w:p>
    <w:p>
      <w:pPr>
        <w:widowControl/>
        <w:snapToGrid w:val="0"/>
        <w:spacing w:beforeLines="50" w:afterLines="50"/>
        <w:jc w:val="center"/>
        <w:rPr>
          <w:rFonts w:ascii="Times New Roman" w:hAnsi="Times New Roman" w:eastAsia="宋体" w:cs="Times New Roman"/>
          <w:b/>
          <w:color w:val="000000" w:themeColor="text1"/>
          <w:kern w:val="0"/>
          <w:sz w:val="24"/>
          <w:szCs w:val="24"/>
          <w:highlight w:val="none"/>
        </w:rPr>
      </w:pPr>
      <w:r>
        <w:rPr>
          <w:rFonts w:ascii="Times New Roman" w:hAnsi="Times New Roman" w:cs="Times New Roman"/>
          <w:b/>
          <w:color w:val="000000" w:themeColor="text1"/>
          <w:sz w:val="24"/>
          <w:szCs w:val="24"/>
          <w:highlight w:val="none"/>
        </w:rPr>
        <w:t>Consolidated and optimized asset quality</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ascii="Times New Roman" w:hAnsi="Times New Roman" w:cs="Times New Roman"/>
          <w:color w:val="000000" w:themeColor="text1"/>
          <w:sz w:val="24"/>
          <w:szCs w:val="24"/>
          <w:highlight w:val="none"/>
        </w:rPr>
        <w:t>In face of complicated external operating environment in the first half of the year, CCB stuck to all-around risk management; continuously improved the risk management system; improved three defense lines; established a concerted risk control mechanism between its parent company and subsidiaries and between its domestic and overseas subsidiaries; and improved the management mechanism of risk preference, credit policy, quota plan, etc. It kept a balance of development and security; actively implemented various alleviating policies; and assisted with the stable operation of the economy and ensured the robust operation of the group.</w:t>
      </w:r>
    </w:p>
    <w:p>
      <w:pPr>
        <w:widowControl/>
        <w:snapToGrid w:val="0"/>
        <w:spacing w:beforeLines="50" w:afterLines="50"/>
        <w:rPr>
          <w:rFonts w:ascii="Times New Roman" w:hAnsi="Times New Roman" w:eastAsia="宋体" w:cs="Times New Roman"/>
          <w:b/>
          <w:color w:val="000000" w:themeColor="text1"/>
          <w:kern w:val="0"/>
          <w:sz w:val="24"/>
          <w:szCs w:val="24"/>
          <w:highlight w:val="none"/>
        </w:rPr>
      </w:pPr>
      <w:r>
        <w:rPr>
          <w:rFonts w:ascii="Times New Roman" w:hAnsi="Times New Roman" w:cs="Times New Roman"/>
          <w:b/>
          <w:color w:val="000000" w:themeColor="text1"/>
          <w:sz w:val="24"/>
          <w:szCs w:val="24"/>
          <w:highlight w:val="none"/>
        </w:rPr>
        <w:t>Consolidated the bottomline of risk prevention and control.</w:t>
      </w:r>
      <w:r>
        <w:rPr>
          <w:rFonts w:ascii="Times New Roman" w:hAnsi="Times New Roman" w:cs="Times New Roman"/>
          <w:color w:val="000000" w:themeColor="text1"/>
          <w:sz w:val="24"/>
          <w:szCs w:val="24"/>
          <w:highlight w:val="none"/>
        </w:rPr>
        <w:t xml:space="preserve"> It continuously strengthened risk analysis and prediction and credit base management and took proactive measures against risk challenges. It further improved credit policy guide, enhanced industrial research capability and optimized credit structure. It stuck to robust and prudential fluidity risk management; actively adapted to monetary policy adjustment; properly applied group funds; and guaranteed the safety of payment and clearing across the bank. It strengthened development of an all-around active and intelligent modern risk management system; optimized risk evaluation, risk portrait, standardization, pressure test and other management tools. It upgraded mobile risk control, </w:t>
      </w:r>
      <w:r>
        <w:rPr>
          <w:rFonts w:ascii="Times New Roman" w:hAnsi="Times New Roman" w:cs="Times New Roman"/>
          <w:color w:val="000000" w:themeColor="text1"/>
          <w:sz w:val="24"/>
          <w:szCs w:val="24"/>
          <w:highlight w:val="none"/>
        </w:rPr>
        <w:t>procedure automation a</w:t>
      </w:r>
      <w:r>
        <w:rPr>
          <w:rFonts w:ascii="Times New Roman" w:hAnsi="Times New Roman" w:cs="Times New Roman"/>
          <w:color w:val="000000" w:themeColor="text1"/>
          <w:sz w:val="24"/>
          <w:szCs w:val="24"/>
          <w:highlight w:val="none"/>
        </w:rPr>
        <w:t xml:space="preserve">nd anti-fraud and anti-money-laundering ability and promoted the development of a smart risk control system. </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hint="eastAsia" w:ascii="Times New Roman" w:hAnsi="Times New Roman" w:cs="Times New Roman"/>
          <w:b/>
          <w:color w:val="000000" w:themeColor="text1"/>
          <w:sz w:val="24"/>
          <w:szCs w:val="24"/>
          <w:highlight w:val="none"/>
          <w:lang w:val="en-US" w:eastAsia="zh-CN"/>
        </w:rPr>
        <w:t>It</w:t>
      </w:r>
      <w:r>
        <w:rPr>
          <w:rFonts w:hint="default" w:ascii="Times New Roman" w:hAnsi="Times New Roman" w:cs="Times New Roman"/>
          <w:b/>
          <w:color w:val="000000" w:themeColor="text1"/>
          <w:sz w:val="24"/>
          <w:szCs w:val="24"/>
          <w:highlight w:val="none"/>
          <w:lang w:val="en-US" w:eastAsia="zh-CN"/>
        </w:rPr>
        <w:t>’</w:t>
      </w:r>
      <w:r>
        <w:rPr>
          <w:rFonts w:hint="eastAsia" w:ascii="Times New Roman" w:hAnsi="Times New Roman" w:cs="Times New Roman"/>
          <w:b/>
          <w:color w:val="000000" w:themeColor="text1"/>
          <w:sz w:val="24"/>
          <w:szCs w:val="24"/>
          <w:highlight w:val="none"/>
          <w:lang w:val="en-US" w:eastAsia="zh-CN"/>
        </w:rPr>
        <w:t>s t</w:t>
      </w:r>
      <w:r>
        <w:rPr>
          <w:rFonts w:hint="eastAsia" w:ascii="Times New Roman" w:hAnsi="Times New Roman" w:cs="Times New Roman"/>
          <w:b/>
          <w:color w:val="000000" w:themeColor="text1"/>
          <w:sz w:val="24"/>
          <w:szCs w:val="24"/>
          <w:highlight w:val="none"/>
        </w:rPr>
        <w:t>ried to maintain the stable asset quality.</w:t>
      </w:r>
      <w:r>
        <w:rPr>
          <w:rFonts w:ascii="Times New Roman" w:hAnsi="Times New Roman" w:cs="Times New Roman"/>
          <w:color w:val="000000" w:themeColor="text1"/>
          <w:sz w:val="24"/>
          <w:szCs w:val="24"/>
          <w:highlight w:val="none"/>
        </w:rPr>
        <w:t xml:space="preserve"> As of the end of June, </w:t>
      </w:r>
      <w:r>
        <w:rPr>
          <w:rFonts w:ascii="Times New Roman" w:hAnsi="Times New Roman" w:cs="Times New Roman"/>
          <w:color w:val="000000" w:themeColor="text1"/>
          <w:sz w:val="24"/>
          <w:szCs w:val="24"/>
          <w:highlight w:val="none"/>
        </w:rPr>
        <w:t>the nonperforming loans was RMB</w:t>
      </w:r>
      <w:r>
        <w:rPr>
          <w:rFonts w:hint="eastAsia" w:ascii="Times New Roman" w:hAnsi="Times New Roman" w:cs="Times New Roman"/>
          <w:color w:val="000000" w:themeColor="text1"/>
          <w:sz w:val="24"/>
          <w:szCs w:val="24"/>
          <w:highlight w:val="none"/>
          <w:lang w:val="en-US" w:eastAsia="zh-CN"/>
        </w:rPr>
        <w:t xml:space="preserve"> 285.509 billion</w:t>
      </w:r>
      <w:r>
        <w:rPr>
          <w:rFonts w:ascii="Times New Roman" w:hAnsi="Times New Roman" w:cs="Times New Roman"/>
          <w:color w:val="000000" w:themeColor="text1"/>
          <w:sz w:val="24"/>
          <w:szCs w:val="24"/>
          <w:highlight w:val="none"/>
        </w:rPr>
        <w:t xml:space="preserve">, </w:t>
      </w:r>
      <w:r>
        <w:rPr>
          <w:rFonts w:ascii="Times New Roman" w:hAnsi="Times New Roman" w:cs="Times New Roman"/>
          <w:color w:val="000000" w:themeColor="text1"/>
          <w:sz w:val="24"/>
          <w:szCs w:val="24"/>
          <w:highlight w:val="none"/>
        </w:rPr>
        <w:t>up by RMB</w:t>
      </w:r>
      <w:r>
        <w:rPr>
          <w:rFonts w:hint="eastAsia" w:ascii="Times New Roman" w:hAnsi="Times New Roman" w:cs="Times New Roman"/>
          <w:color w:val="000000" w:themeColor="text1"/>
          <w:sz w:val="24"/>
          <w:szCs w:val="24"/>
          <w:highlight w:val="none"/>
          <w:lang w:val="en-US" w:eastAsia="zh-CN"/>
        </w:rPr>
        <w:t xml:space="preserve"> 19.438 billion</w:t>
      </w:r>
      <w:r>
        <w:rPr>
          <w:rFonts w:ascii="Times New Roman" w:hAnsi="Times New Roman" w:cs="Times New Roman"/>
          <w:color w:val="000000" w:themeColor="text1"/>
          <w:sz w:val="24"/>
          <w:szCs w:val="24"/>
          <w:highlight w:val="none"/>
        </w:rPr>
        <w:t xml:space="preserve"> over the year-end of the previous year; </w:t>
      </w:r>
      <w:r>
        <w:rPr>
          <w:rFonts w:ascii="Times New Roman" w:hAnsi="Times New Roman" w:cs="Times New Roman"/>
          <w:color w:val="000000" w:themeColor="text1"/>
          <w:sz w:val="24"/>
          <w:szCs w:val="24"/>
          <w:highlight w:val="none"/>
        </w:rPr>
        <w:t xml:space="preserve">the NPL ratio was </w:t>
      </w:r>
      <w:r>
        <w:rPr>
          <w:rFonts w:hint="eastAsia" w:ascii="Times New Roman" w:hAnsi="Times New Roman" w:cs="Times New Roman"/>
          <w:color w:val="000000" w:themeColor="text1"/>
          <w:sz w:val="24"/>
          <w:szCs w:val="24"/>
          <w:highlight w:val="none"/>
          <w:lang w:val="en-US" w:eastAsia="zh-CN"/>
        </w:rPr>
        <w:t>1.40</w:t>
      </w:r>
      <w:r>
        <w:rPr>
          <w:rFonts w:ascii="Times New Roman" w:hAnsi="Times New Roman" w:cs="Times New Roman"/>
          <w:color w:val="000000" w:themeColor="text1"/>
          <w:sz w:val="24"/>
          <w:szCs w:val="24"/>
          <w:highlight w:val="none"/>
        </w:rPr>
        <w:t xml:space="preserve">%, down by </w:t>
      </w:r>
      <w:r>
        <w:rPr>
          <w:rFonts w:hint="eastAsia" w:ascii="Times New Roman" w:hAnsi="Times New Roman" w:cs="Times New Roman"/>
          <w:color w:val="000000" w:themeColor="text1"/>
          <w:sz w:val="24"/>
          <w:szCs w:val="24"/>
          <w:highlight w:val="none"/>
          <w:lang w:val="en-US" w:eastAsia="zh-CN"/>
        </w:rPr>
        <w:t xml:space="preserve">0.02 </w:t>
      </w:r>
      <w:r>
        <w:rPr>
          <w:rFonts w:ascii="Times New Roman" w:hAnsi="Times New Roman" w:cs="Times New Roman"/>
          <w:color w:val="000000" w:themeColor="text1"/>
          <w:sz w:val="24"/>
          <w:szCs w:val="24"/>
          <w:highlight w:val="none"/>
        </w:rPr>
        <w:t>percentage points</w:t>
      </w:r>
      <w:r>
        <w:rPr>
          <w:rFonts w:ascii="Times New Roman" w:hAnsi="Times New Roman" w:cs="Times New Roman"/>
          <w:color w:val="000000" w:themeColor="text1"/>
          <w:sz w:val="24"/>
          <w:szCs w:val="24"/>
          <w:highlight w:val="none"/>
        </w:rPr>
        <w:t xml:space="preserve"> compared with that at the end of the previous year. The special-mentioned loan accounted for </w:t>
      </w:r>
      <w:r>
        <w:rPr>
          <w:rFonts w:ascii="Times New Roman" w:hAnsi="Times New Roman" w:cs="Times New Roman"/>
          <w:color w:val="000000" w:themeColor="text1"/>
          <w:sz w:val="24"/>
          <w:szCs w:val="24"/>
          <w:highlight w:val="none"/>
        </w:rPr>
        <w:t xml:space="preserve">2.63%, </w:t>
      </w:r>
      <w:r>
        <w:rPr>
          <w:rFonts w:ascii="Times New Roman" w:hAnsi="Times New Roman" w:cs="Times New Roman"/>
          <w:color w:val="000000" w:themeColor="text1"/>
          <w:sz w:val="24"/>
          <w:szCs w:val="24"/>
          <w:highlight w:val="none"/>
        </w:rPr>
        <w:t>down</w:t>
      </w:r>
      <w:r>
        <w:rPr>
          <w:rFonts w:ascii="Times New Roman" w:hAnsi="Times New Roman" w:cs="Times New Roman"/>
          <w:color w:val="000000" w:themeColor="text1"/>
          <w:sz w:val="24"/>
          <w:szCs w:val="24"/>
          <w:highlight w:val="none"/>
        </w:rPr>
        <w:t xml:space="preserve"> 0.06 pps</w:t>
      </w:r>
      <w:r>
        <w:rPr>
          <w:rFonts w:ascii="Times New Roman" w:hAnsi="Times New Roman" w:cs="Times New Roman"/>
          <w:color w:val="000000" w:themeColor="text1"/>
          <w:sz w:val="24"/>
          <w:szCs w:val="24"/>
          <w:highlight w:val="none"/>
        </w:rPr>
        <w:t xml:space="preserve"> from the end of the previous year. In the first half of the year, it withdrew a credit deprecation </w:t>
      </w:r>
      <w:r>
        <w:rPr>
          <w:rFonts w:ascii="Times New Roman" w:hAnsi="Times New Roman" w:cs="Times New Roman"/>
          <w:color w:val="000000" w:themeColor="text1"/>
          <w:sz w:val="24"/>
          <w:szCs w:val="24"/>
          <w:highlight w:val="none"/>
        </w:rPr>
        <w:t>loss of RMB 93.032 billion</w:t>
      </w:r>
      <w:r>
        <w:rPr>
          <w:rFonts w:ascii="Times New Roman" w:hAnsi="Times New Roman" w:cs="Times New Roman"/>
          <w:color w:val="000000" w:themeColor="text1"/>
          <w:sz w:val="24"/>
          <w:szCs w:val="24"/>
          <w:highlight w:val="none"/>
        </w:rPr>
        <w:t xml:space="preserve"> for loans, </w:t>
      </w:r>
      <w:r>
        <w:rPr>
          <w:rFonts w:ascii="Times New Roman" w:hAnsi="Times New Roman" w:cs="Times New Roman"/>
          <w:color w:val="000000" w:themeColor="text1"/>
          <w:sz w:val="24"/>
          <w:szCs w:val="24"/>
          <w:highlight w:val="none"/>
        </w:rPr>
        <w:t>down by RMB</w:t>
      </w:r>
      <w:r>
        <w:rPr>
          <w:rFonts w:hint="eastAsia" w:ascii="Times New Roman" w:hAnsi="Times New Roman" w:cs="Times New Roman"/>
          <w:color w:val="000000" w:themeColor="text1"/>
          <w:sz w:val="24"/>
          <w:szCs w:val="24"/>
          <w:highlight w:val="none"/>
          <w:lang w:val="en-US" w:eastAsia="zh-CN"/>
        </w:rPr>
        <w:t xml:space="preserve"> </w:t>
      </w:r>
      <w:r>
        <w:rPr>
          <w:rFonts w:ascii="Times New Roman" w:hAnsi="Times New Roman" w:cs="Times New Roman"/>
          <w:color w:val="000000" w:themeColor="text1"/>
          <w:sz w:val="24"/>
          <w:szCs w:val="24"/>
          <w:highlight w:val="none"/>
        </w:rPr>
        <w:t xml:space="preserve">1.418 billion or </w:t>
      </w:r>
      <w:r>
        <w:rPr>
          <w:rFonts w:hint="eastAsia" w:ascii="Times New Roman" w:hAnsi="Times New Roman" w:cs="Times New Roman"/>
          <w:color w:val="000000" w:themeColor="text1"/>
          <w:sz w:val="24"/>
          <w:szCs w:val="24"/>
          <w:highlight w:val="none"/>
          <w:lang w:val="en-US" w:eastAsia="zh-CN"/>
        </w:rPr>
        <w:t>1.50</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xml:space="preserve"> compared with that at the end of the previous year. CCB'S </w:t>
      </w:r>
      <w:r>
        <w:rPr>
          <w:rFonts w:ascii="Times New Roman" w:hAnsi="Times New Roman" w:cs="Times New Roman"/>
          <w:color w:val="000000" w:themeColor="text1"/>
          <w:sz w:val="24"/>
          <w:szCs w:val="24"/>
          <w:highlight w:val="none"/>
        </w:rPr>
        <w:t xml:space="preserve">capital adequacy ratio was </w:t>
      </w:r>
      <w:r>
        <w:rPr>
          <w:rFonts w:hint="eastAsia" w:ascii="Times New Roman" w:hAnsi="Times New Roman" w:cs="Times New Roman"/>
          <w:color w:val="000000" w:themeColor="text1"/>
          <w:sz w:val="24"/>
          <w:szCs w:val="24"/>
          <w:highlight w:val="none"/>
          <w:lang w:val="en-US" w:eastAsia="zh-CN"/>
        </w:rPr>
        <w:t>17.95</w:t>
      </w:r>
      <w:r>
        <w:rPr>
          <w:rFonts w:ascii="Times New Roman" w:hAnsi="Times New Roman" w:cs="Times New Roman"/>
          <w:color w:val="000000" w:themeColor="text1"/>
          <w:sz w:val="24"/>
          <w:szCs w:val="24"/>
          <w:highlight w:val="none"/>
        </w:rPr>
        <w:t xml:space="preserve">%, Tier 1 capital adequacy ratio was 13.93%, and core Tier 1 capital adequacy ratio was </w:t>
      </w:r>
      <w:r>
        <w:rPr>
          <w:rFonts w:hint="eastAsia" w:ascii="Times New Roman" w:hAnsi="Times New Roman" w:cs="Times New Roman"/>
          <w:color w:val="000000" w:themeColor="text1"/>
          <w:sz w:val="24"/>
          <w:szCs w:val="24"/>
          <w:highlight w:val="none"/>
          <w:lang w:val="en-US" w:eastAsia="zh-CN"/>
        </w:rPr>
        <w:t>13.40</w:t>
      </w:r>
      <w:r>
        <w:rPr>
          <w:rFonts w:ascii="Times New Roman" w:hAnsi="Times New Roman" w:cs="Times New Roman"/>
          <w:color w:val="000000" w:themeColor="text1"/>
          <w:sz w:val="24"/>
          <w:szCs w:val="24"/>
          <w:highlight w:val="none"/>
        </w:rPr>
        <w:t>%</w:t>
      </w:r>
      <w:r>
        <w:rPr>
          <w:rFonts w:ascii="Times New Roman" w:hAnsi="Times New Roman" w:cs="Times New Roman"/>
          <w:color w:val="000000" w:themeColor="text1"/>
          <w:sz w:val="24"/>
          <w:szCs w:val="24"/>
          <w:highlight w:val="none"/>
        </w:rPr>
        <w:t>, leading in the domestic market.</w:t>
      </w:r>
    </w:p>
    <w:p>
      <w:pPr>
        <w:widowControl/>
        <w:snapToGrid w:val="0"/>
        <w:spacing w:beforeLines="50" w:afterLines="50"/>
        <w:rPr>
          <w:rFonts w:ascii="Times New Roman" w:hAnsi="Times New Roman" w:eastAsia="宋体" w:cs="Times New Roman"/>
          <w:color w:val="000000" w:themeColor="text1"/>
          <w:kern w:val="0"/>
          <w:sz w:val="24"/>
          <w:szCs w:val="24"/>
          <w:highlight w:val="none"/>
        </w:rPr>
      </w:pPr>
      <w:r>
        <w:rPr>
          <w:rFonts w:hint="eastAsia" w:ascii="Times New Roman" w:hAnsi="Times New Roman" w:cs="Times New Roman"/>
          <w:color w:val="000000" w:themeColor="text1"/>
          <w:sz w:val="24"/>
          <w:szCs w:val="24"/>
          <w:highlight w:val="none"/>
        </w:rPr>
        <w:t>As per CCB, the next phase of work would be guided by President Xi Jinping’s thought on socialism with Chinese characteristics for a new era, and the focuses were as follows:</w:t>
      </w:r>
      <w:r>
        <w:rPr>
          <w:rFonts w:ascii="Times New Roman" w:hAnsi="Times New Roman" w:cs="Times New Roman"/>
          <w:color w:val="000000" w:themeColor="text1"/>
          <w:sz w:val="24"/>
          <w:szCs w:val="24"/>
          <w:highlight w:val="none"/>
        </w:rPr>
        <w:t xml:space="preserve"> first, undertake the responsibilities as a leading state-owned bank and aggressively support the economic stability and recovery. Second, continuously improve operational quality and efficiency for value creation. Third, strength platform mentality and promote the simultaneous development of the first and the second development curves. Fourth, consolidate the base of development; strengthen comprehensive ability to serve the clients and deepen digitalized operation. Fifth, keep a balance of development and security and continuously strengthen overall risk management. In face of the complicated domestic and overseas situations, CCB will fully and accurately implement the new development concepts; deeply promote its new financial campaigns in property lease, inclusive finance and financial technology; realize concerted development of all sectors and take concrete actions to </w:t>
      </w:r>
      <w:r>
        <w:rPr>
          <w:rFonts w:hint="eastAsia" w:ascii="Times New Roman" w:hAnsi="Times New Roman" w:cs="Times New Roman"/>
          <w:color w:val="000000" w:themeColor="text1"/>
          <w:sz w:val="24"/>
          <w:szCs w:val="24"/>
          <w:highlight w:val="none"/>
          <w:lang w:val="en-US" w:eastAsia="zh-CN"/>
        </w:rPr>
        <w:t>meet</w:t>
      </w:r>
      <w:r>
        <w:rPr>
          <w:rFonts w:ascii="Times New Roman" w:hAnsi="Times New Roman" w:cs="Times New Roman"/>
          <w:color w:val="000000" w:themeColor="text1"/>
          <w:sz w:val="24"/>
          <w:szCs w:val="24"/>
          <w:highlight w:val="none"/>
        </w:rPr>
        <w:t xml:space="preserve"> the  </w:t>
      </w:r>
      <w:r>
        <w:rPr>
          <w:rFonts w:hint="eastAsia" w:ascii="Times New Roman" w:hAnsi="Times New Roman" w:cs="Times New Roman"/>
          <w:color w:val="000000" w:themeColor="text1"/>
          <w:sz w:val="24"/>
          <w:szCs w:val="24"/>
          <w:highlight w:val="none"/>
          <w:lang w:val="en-US" w:eastAsia="zh-CN"/>
        </w:rPr>
        <w:t xml:space="preserve"> successful convocation of the </w:t>
      </w:r>
      <w:r>
        <w:rPr>
          <w:rFonts w:ascii="Times New Roman" w:hAnsi="Times New Roman" w:cs="Times New Roman"/>
          <w:color w:val="000000" w:themeColor="text1"/>
          <w:sz w:val="24"/>
          <w:szCs w:val="24"/>
          <w:highlight w:val="none"/>
        </w:rPr>
        <w:t>20th National Congress of the CPC.</w:t>
      </w:r>
    </w:p>
    <w:p>
      <w:pPr>
        <w:snapToGrid w:val="0"/>
        <w:spacing w:beforeLines="50" w:afterLines="50"/>
        <w:rPr>
          <w:rFonts w:ascii="Times New Roman" w:hAnsi="Times New Roman" w:eastAsia="宋体" w:cs="Times New Roman"/>
          <w:color w:val="000000" w:themeColor="text1"/>
          <w:sz w:val="24"/>
          <w:szCs w:val="24"/>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168835"/>
      <w:docPartObj>
        <w:docPartGallery w:val="autotext"/>
      </w:docPartObj>
    </w:sdtPr>
    <w:sdtContent>
      <w:p>
        <w:pPr>
          <w:pStyle w:val="5"/>
          <w:jc w:val="center"/>
        </w:pPr>
        <w:r>
          <w:fldChar w:fldCharType="begin"/>
        </w:r>
        <w:r>
          <w:instrText xml:space="preserve">PAGE   \* MERGEFORMAT</w:instrText>
        </w:r>
        <w:r>
          <w:fldChar w:fldCharType="separate"/>
        </w:r>
        <w:r>
          <w:t>3</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2ZGZiNzZiNDVlOGViOWVmM2JhOTY0NGJkNjUyYzgifQ=="/>
  </w:docVars>
  <w:rsids>
    <w:rsidRoot w:val="00BF65A4"/>
    <w:rsid w:val="000011C0"/>
    <w:rsid w:val="000170DD"/>
    <w:rsid w:val="00026B70"/>
    <w:rsid w:val="00033FD7"/>
    <w:rsid w:val="000354F8"/>
    <w:rsid w:val="00037529"/>
    <w:rsid w:val="000446C0"/>
    <w:rsid w:val="00052A6F"/>
    <w:rsid w:val="00055D83"/>
    <w:rsid w:val="00056414"/>
    <w:rsid w:val="00060063"/>
    <w:rsid w:val="00061F23"/>
    <w:rsid w:val="00062773"/>
    <w:rsid w:val="0008011D"/>
    <w:rsid w:val="000A2DF8"/>
    <w:rsid w:val="000B0041"/>
    <w:rsid w:val="000C1C4E"/>
    <w:rsid w:val="000F6C6B"/>
    <w:rsid w:val="00101C37"/>
    <w:rsid w:val="001374C6"/>
    <w:rsid w:val="00140632"/>
    <w:rsid w:val="001435A4"/>
    <w:rsid w:val="00143BAE"/>
    <w:rsid w:val="00143EF0"/>
    <w:rsid w:val="00146837"/>
    <w:rsid w:val="00152A73"/>
    <w:rsid w:val="0015656A"/>
    <w:rsid w:val="0016197A"/>
    <w:rsid w:val="001641EE"/>
    <w:rsid w:val="00166709"/>
    <w:rsid w:val="00174F7D"/>
    <w:rsid w:val="001829E2"/>
    <w:rsid w:val="001875D3"/>
    <w:rsid w:val="0019078B"/>
    <w:rsid w:val="00196DFF"/>
    <w:rsid w:val="001A020D"/>
    <w:rsid w:val="001B3740"/>
    <w:rsid w:val="001B6BB2"/>
    <w:rsid w:val="001C2251"/>
    <w:rsid w:val="001C72DC"/>
    <w:rsid w:val="001C7DD0"/>
    <w:rsid w:val="001D5A89"/>
    <w:rsid w:val="001F3CA4"/>
    <w:rsid w:val="001F68F2"/>
    <w:rsid w:val="00200A06"/>
    <w:rsid w:val="00212331"/>
    <w:rsid w:val="00214408"/>
    <w:rsid w:val="00240817"/>
    <w:rsid w:val="00241DB5"/>
    <w:rsid w:val="00253766"/>
    <w:rsid w:val="002660C0"/>
    <w:rsid w:val="00273437"/>
    <w:rsid w:val="0027751F"/>
    <w:rsid w:val="0028060B"/>
    <w:rsid w:val="002849A5"/>
    <w:rsid w:val="00295B92"/>
    <w:rsid w:val="002B1576"/>
    <w:rsid w:val="002B238C"/>
    <w:rsid w:val="002C6A67"/>
    <w:rsid w:val="002D1368"/>
    <w:rsid w:val="002D334B"/>
    <w:rsid w:val="002D36C1"/>
    <w:rsid w:val="002D42B9"/>
    <w:rsid w:val="003044AB"/>
    <w:rsid w:val="0031713B"/>
    <w:rsid w:val="003208CA"/>
    <w:rsid w:val="0032172C"/>
    <w:rsid w:val="003236FA"/>
    <w:rsid w:val="0032392F"/>
    <w:rsid w:val="00325B6F"/>
    <w:rsid w:val="00331C22"/>
    <w:rsid w:val="00332511"/>
    <w:rsid w:val="0034290F"/>
    <w:rsid w:val="00342A57"/>
    <w:rsid w:val="00343402"/>
    <w:rsid w:val="0034387A"/>
    <w:rsid w:val="00353311"/>
    <w:rsid w:val="003647D4"/>
    <w:rsid w:val="0037681D"/>
    <w:rsid w:val="003B2561"/>
    <w:rsid w:val="003B7D65"/>
    <w:rsid w:val="003C620C"/>
    <w:rsid w:val="003C7782"/>
    <w:rsid w:val="003D0E39"/>
    <w:rsid w:val="003E68B5"/>
    <w:rsid w:val="003F39DD"/>
    <w:rsid w:val="003F4552"/>
    <w:rsid w:val="003F5AAB"/>
    <w:rsid w:val="00403D12"/>
    <w:rsid w:val="00406297"/>
    <w:rsid w:val="00412EEB"/>
    <w:rsid w:val="00432A60"/>
    <w:rsid w:val="0043453E"/>
    <w:rsid w:val="00450558"/>
    <w:rsid w:val="00454714"/>
    <w:rsid w:val="0046612B"/>
    <w:rsid w:val="0046681C"/>
    <w:rsid w:val="00476179"/>
    <w:rsid w:val="00494084"/>
    <w:rsid w:val="004A6560"/>
    <w:rsid w:val="004B531B"/>
    <w:rsid w:val="004C261F"/>
    <w:rsid w:val="004D02C6"/>
    <w:rsid w:val="004D076F"/>
    <w:rsid w:val="004D3422"/>
    <w:rsid w:val="004E5121"/>
    <w:rsid w:val="004F0A57"/>
    <w:rsid w:val="004F29A0"/>
    <w:rsid w:val="00505934"/>
    <w:rsid w:val="0051145E"/>
    <w:rsid w:val="00514872"/>
    <w:rsid w:val="00523999"/>
    <w:rsid w:val="0052796B"/>
    <w:rsid w:val="005403EC"/>
    <w:rsid w:val="00552DD0"/>
    <w:rsid w:val="00557C80"/>
    <w:rsid w:val="00564216"/>
    <w:rsid w:val="00575167"/>
    <w:rsid w:val="00576D2D"/>
    <w:rsid w:val="00580EB6"/>
    <w:rsid w:val="00582440"/>
    <w:rsid w:val="00596F65"/>
    <w:rsid w:val="005A467A"/>
    <w:rsid w:val="005C6789"/>
    <w:rsid w:val="005D497B"/>
    <w:rsid w:val="005D712A"/>
    <w:rsid w:val="005E4043"/>
    <w:rsid w:val="006000BD"/>
    <w:rsid w:val="00604850"/>
    <w:rsid w:val="0060798B"/>
    <w:rsid w:val="006331CA"/>
    <w:rsid w:val="00652D95"/>
    <w:rsid w:val="00654FE1"/>
    <w:rsid w:val="00656CB3"/>
    <w:rsid w:val="006606EE"/>
    <w:rsid w:val="00660ECF"/>
    <w:rsid w:val="00663EE3"/>
    <w:rsid w:val="0067205B"/>
    <w:rsid w:val="006744D6"/>
    <w:rsid w:val="006961DE"/>
    <w:rsid w:val="006A16F5"/>
    <w:rsid w:val="006C22FC"/>
    <w:rsid w:val="006C5DB1"/>
    <w:rsid w:val="006D4CD8"/>
    <w:rsid w:val="006E0E3B"/>
    <w:rsid w:val="006E1CF8"/>
    <w:rsid w:val="006E29B5"/>
    <w:rsid w:val="006E6912"/>
    <w:rsid w:val="007035A3"/>
    <w:rsid w:val="00704867"/>
    <w:rsid w:val="007049A5"/>
    <w:rsid w:val="007232FC"/>
    <w:rsid w:val="00725CA1"/>
    <w:rsid w:val="00745E0F"/>
    <w:rsid w:val="0076203F"/>
    <w:rsid w:val="00767E08"/>
    <w:rsid w:val="007709A4"/>
    <w:rsid w:val="00774CD0"/>
    <w:rsid w:val="00777CCB"/>
    <w:rsid w:val="007916B6"/>
    <w:rsid w:val="007A0C22"/>
    <w:rsid w:val="007A56D5"/>
    <w:rsid w:val="007A798A"/>
    <w:rsid w:val="007B0279"/>
    <w:rsid w:val="007B21B9"/>
    <w:rsid w:val="007D139B"/>
    <w:rsid w:val="007F23A8"/>
    <w:rsid w:val="00812E42"/>
    <w:rsid w:val="008227C7"/>
    <w:rsid w:val="008236B3"/>
    <w:rsid w:val="00836D2E"/>
    <w:rsid w:val="00847E23"/>
    <w:rsid w:val="00853A47"/>
    <w:rsid w:val="008542A6"/>
    <w:rsid w:val="00866E56"/>
    <w:rsid w:val="00887D12"/>
    <w:rsid w:val="00894F71"/>
    <w:rsid w:val="008A3171"/>
    <w:rsid w:val="008A39FA"/>
    <w:rsid w:val="008A47D8"/>
    <w:rsid w:val="008B13E8"/>
    <w:rsid w:val="008C210D"/>
    <w:rsid w:val="008F19D3"/>
    <w:rsid w:val="008F692D"/>
    <w:rsid w:val="008F79D9"/>
    <w:rsid w:val="00901295"/>
    <w:rsid w:val="00902BFE"/>
    <w:rsid w:val="009135D6"/>
    <w:rsid w:val="00925F5D"/>
    <w:rsid w:val="00964DFF"/>
    <w:rsid w:val="009801C7"/>
    <w:rsid w:val="00983278"/>
    <w:rsid w:val="009839A5"/>
    <w:rsid w:val="00994D88"/>
    <w:rsid w:val="009A31D3"/>
    <w:rsid w:val="009B015C"/>
    <w:rsid w:val="009B207E"/>
    <w:rsid w:val="009B3E9A"/>
    <w:rsid w:val="009B60E9"/>
    <w:rsid w:val="009B6F88"/>
    <w:rsid w:val="009C0EB9"/>
    <w:rsid w:val="009C7C9C"/>
    <w:rsid w:val="009D241C"/>
    <w:rsid w:val="009D3508"/>
    <w:rsid w:val="009D6F5E"/>
    <w:rsid w:val="009D785C"/>
    <w:rsid w:val="009D7A59"/>
    <w:rsid w:val="009E303F"/>
    <w:rsid w:val="009E6708"/>
    <w:rsid w:val="009F1B69"/>
    <w:rsid w:val="009F1E0E"/>
    <w:rsid w:val="009F6A94"/>
    <w:rsid w:val="009F7C1C"/>
    <w:rsid w:val="00A16D95"/>
    <w:rsid w:val="00A2455E"/>
    <w:rsid w:val="00A2677E"/>
    <w:rsid w:val="00A3073A"/>
    <w:rsid w:val="00A575D7"/>
    <w:rsid w:val="00A6174B"/>
    <w:rsid w:val="00A72554"/>
    <w:rsid w:val="00A736A9"/>
    <w:rsid w:val="00A749B6"/>
    <w:rsid w:val="00A909B3"/>
    <w:rsid w:val="00AA175A"/>
    <w:rsid w:val="00AB46ED"/>
    <w:rsid w:val="00AE308A"/>
    <w:rsid w:val="00B021D8"/>
    <w:rsid w:val="00B06479"/>
    <w:rsid w:val="00B149BD"/>
    <w:rsid w:val="00B16E2F"/>
    <w:rsid w:val="00B22009"/>
    <w:rsid w:val="00B276D3"/>
    <w:rsid w:val="00B32BAF"/>
    <w:rsid w:val="00B332CB"/>
    <w:rsid w:val="00B36E86"/>
    <w:rsid w:val="00B4071C"/>
    <w:rsid w:val="00B40E57"/>
    <w:rsid w:val="00B41D4F"/>
    <w:rsid w:val="00B55F9F"/>
    <w:rsid w:val="00B70D09"/>
    <w:rsid w:val="00B77C72"/>
    <w:rsid w:val="00B811AD"/>
    <w:rsid w:val="00BB5CA0"/>
    <w:rsid w:val="00BC36C6"/>
    <w:rsid w:val="00BC483B"/>
    <w:rsid w:val="00BC4F74"/>
    <w:rsid w:val="00BD427F"/>
    <w:rsid w:val="00BD50F0"/>
    <w:rsid w:val="00BE6657"/>
    <w:rsid w:val="00BF0EEE"/>
    <w:rsid w:val="00BF65A4"/>
    <w:rsid w:val="00BF7078"/>
    <w:rsid w:val="00BF798C"/>
    <w:rsid w:val="00C04A10"/>
    <w:rsid w:val="00C107CD"/>
    <w:rsid w:val="00C237CA"/>
    <w:rsid w:val="00C36F4E"/>
    <w:rsid w:val="00C402CB"/>
    <w:rsid w:val="00C43421"/>
    <w:rsid w:val="00C47F1A"/>
    <w:rsid w:val="00C5221D"/>
    <w:rsid w:val="00C54498"/>
    <w:rsid w:val="00C662AE"/>
    <w:rsid w:val="00C76F39"/>
    <w:rsid w:val="00C85B54"/>
    <w:rsid w:val="00C8647B"/>
    <w:rsid w:val="00C96436"/>
    <w:rsid w:val="00CA27CF"/>
    <w:rsid w:val="00CA4A0A"/>
    <w:rsid w:val="00CB4FA1"/>
    <w:rsid w:val="00CC18F4"/>
    <w:rsid w:val="00CC369E"/>
    <w:rsid w:val="00CD06A4"/>
    <w:rsid w:val="00CD127D"/>
    <w:rsid w:val="00CD3A82"/>
    <w:rsid w:val="00CE7E2F"/>
    <w:rsid w:val="00CF77EA"/>
    <w:rsid w:val="00D03100"/>
    <w:rsid w:val="00D04FCE"/>
    <w:rsid w:val="00D0731A"/>
    <w:rsid w:val="00D12C50"/>
    <w:rsid w:val="00D6569A"/>
    <w:rsid w:val="00D816E1"/>
    <w:rsid w:val="00D8345E"/>
    <w:rsid w:val="00D84BC5"/>
    <w:rsid w:val="00D866A4"/>
    <w:rsid w:val="00D90852"/>
    <w:rsid w:val="00D95C9B"/>
    <w:rsid w:val="00D964AA"/>
    <w:rsid w:val="00DA439A"/>
    <w:rsid w:val="00DA4428"/>
    <w:rsid w:val="00DA70E6"/>
    <w:rsid w:val="00DB613C"/>
    <w:rsid w:val="00DC4BFC"/>
    <w:rsid w:val="00DC5E02"/>
    <w:rsid w:val="00DC6867"/>
    <w:rsid w:val="00DF1E08"/>
    <w:rsid w:val="00E11CFF"/>
    <w:rsid w:val="00E25C86"/>
    <w:rsid w:val="00E274D3"/>
    <w:rsid w:val="00E30EB5"/>
    <w:rsid w:val="00E52206"/>
    <w:rsid w:val="00E53E29"/>
    <w:rsid w:val="00E66EBB"/>
    <w:rsid w:val="00E718AB"/>
    <w:rsid w:val="00E81D59"/>
    <w:rsid w:val="00E8318F"/>
    <w:rsid w:val="00E91F10"/>
    <w:rsid w:val="00E94764"/>
    <w:rsid w:val="00EA221D"/>
    <w:rsid w:val="00EB29C6"/>
    <w:rsid w:val="00EC3CB1"/>
    <w:rsid w:val="00EC5F74"/>
    <w:rsid w:val="00EE0676"/>
    <w:rsid w:val="00EE42A9"/>
    <w:rsid w:val="00EF145F"/>
    <w:rsid w:val="00F00983"/>
    <w:rsid w:val="00F10B1F"/>
    <w:rsid w:val="00F148EE"/>
    <w:rsid w:val="00F370E8"/>
    <w:rsid w:val="00F72E66"/>
    <w:rsid w:val="00F77F7F"/>
    <w:rsid w:val="00F80A11"/>
    <w:rsid w:val="00F906F0"/>
    <w:rsid w:val="00F96EA5"/>
    <w:rsid w:val="00FA05D6"/>
    <w:rsid w:val="00FA6542"/>
    <w:rsid w:val="00FC7419"/>
    <w:rsid w:val="00FD09D5"/>
    <w:rsid w:val="00FD1F48"/>
    <w:rsid w:val="00FE3FB3"/>
    <w:rsid w:val="00FF094D"/>
    <w:rsid w:val="00FF1922"/>
    <w:rsid w:val="00FF203C"/>
    <w:rsid w:val="01617A93"/>
    <w:rsid w:val="04CD7FA9"/>
    <w:rsid w:val="0AAB7606"/>
    <w:rsid w:val="0E3221DF"/>
    <w:rsid w:val="1FFC1F6C"/>
    <w:rsid w:val="26AB60A2"/>
    <w:rsid w:val="27CC3A2B"/>
    <w:rsid w:val="2A38353A"/>
    <w:rsid w:val="2E7F4ECD"/>
    <w:rsid w:val="30FE04AB"/>
    <w:rsid w:val="35B83668"/>
    <w:rsid w:val="35EC2871"/>
    <w:rsid w:val="427C76E9"/>
    <w:rsid w:val="42B86E9B"/>
    <w:rsid w:val="46D34B46"/>
    <w:rsid w:val="4F4E3E4F"/>
    <w:rsid w:val="51451D79"/>
    <w:rsid w:val="52F05231"/>
    <w:rsid w:val="58626C04"/>
    <w:rsid w:val="58857816"/>
    <w:rsid w:val="58C624F7"/>
    <w:rsid w:val="77631C6F"/>
    <w:rsid w:val="78CC398B"/>
    <w:rsid w:val="7CD97B5E"/>
    <w:rsid w:val="7F510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link w:val="14"/>
    <w:unhideWhenUsed/>
    <w:qFormat/>
    <w:uiPriority w:val="0"/>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semiHidden/>
    <w:qFormat/>
    <w:uiPriority w:val="99"/>
  </w:style>
  <w:style w:type="character" w:customStyle="1" w:styleId="14">
    <w:name w:val="正文文本 Char1"/>
    <w:basedOn w:val="9"/>
    <w:link w:val="3"/>
    <w:qFormat/>
    <w:uiPriority w:val="0"/>
  </w:style>
  <w:style w:type="character" w:customStyle="1" w:styleId="15">
    <w:name w:val="批注框文本 Char"/>
    <w:basedOn w:val="9"/>
    <w:link w:val="4"/>
    <w:semiHidden/>
    <w:qFormat/>
    <w:uiPriority w:val="99"/>
    <w:rPr>
      <w:sz w:val="18"/>
      <w:szCs w:val="18"/>
    </w:rPr>
  </w:style>
  <w:style w:type="character" w:customStyle="1" w:styleId="16">
    <w:name w:val="批注文字 Char"/>
    <w:basedOn w:val="9"/>
    <w:link w:val="2"/>
    <w:semiHidden/>
    <w:qFormat/>
    <w:uiPriority w:val="99"/>
  </w:style>
  <w:style w:type="character" w:customStyle="1" w:styleId="17">
    <w:name w:val="批注主题 Char"/>
    <w:basedOn w:val="16"/>
    <w:link w:val="7"/>
    <w:semiHidden/>
    <w:qFormat/>
    <w:uiPriority w:val="99"/>
    <w:rPr>
      <w:b/>
      <w:bCs/>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2940</Words>
  <Characters>16626</Characters>
  <Lines>132</Lines>
  <Paragraphs>37</Paragraphs>
  <TotalTime>45</TotalTime>
  <ScaleCrop>false</ScaleCrop>
  <LinksUpToDate>false</LinksUpToDate>
  <CharactersWithSpaces>19540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2022-08-26T08:41:00Z</dcterms:created>
  <dc:creator>李承阳</dc:creator>
  <cp:lastModifiedBy>疏影</cp:lastModifiedBy>
  <cp:lastPrinted>2022-08-26T09:24:00Z</cp:lastPrinted>
  <dcterms:modified xsi:type="dcterms:W3CDTF">2022-08-30T12:34:06Z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0384969B18D24ADF86EB79DD14BBD8E0</vt:lpwstr>
  </property>
</Properties>
</file>