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586C0E" w:rsidRPr="00586C0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</w:t>
      </w:r>
      <w:r w:rsidR="006A285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2020</w:t>
      </w:r>
      <w:r w:rsidR="00586C0E" w:rsidRPr="00586C0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年第</w:t>
      </w:r>
      <w:r w:rsidR="006A285C">
        <w:rPr>
          <w:rFonts w:asciiTheme="minorEastAsia" w:eastAsiaTheme="minorEastAsia" w:hAnsiTheme="minorEastAsia"/>
          <w:b/>
          <w:color w:val="000000"/>
          <w:sz w:val="32"/>
          <w:szCs w:val="32"/>
        </w:rPr>
        <w:t>9</w:t>
      </w:r>
      <w:r w:rsidR="00586C0E" w:rsidRPr="00586C0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1期私人银行人民币理财产品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586A00">
        <w:rPr>
          <w:rFonts w:asciiTheme="minorEastAsia" w:eastAsiaTheme="minorEastAsia" w:hAnsiTheme="minorEastAsia"/>
          <w:color w:val="000000"/>
          <w:szCs w:val="21"/>
        </w:rPr>
        <w:t>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586A00">
        <w:rPr>
          <w:rFonts w:asciiTheme="minorEastAsia" w:eastAsiaTheme="minorEastAsia" w:hAnsiTheme="minorEastAsia"/>
          <w:color w:val="000000"/>
          <w:szCs w:val="21"/>
        </w:rPr>
        <w:t>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6A285C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A285C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“乾元-私享”2020年第91期私人银行人民币理财产品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987726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6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987726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6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51976</w:t>
      </w:r>
      <w:r w:rsidR="00987726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A285C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210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6A285C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3.72</w:t>
            </w:r>
            <w:r w:rsidR="00586A00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987726" w:rsidP="003E03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7726">
              <w:rPr>
                <w:rFonts w:asciiTheme="minorEastAsia" w:eastAsiaTheme="minorEastAsia" w:hAnsiTheme="minorEastAsia" w:hint="eastAsia"/>
                <w:szCs w:val="21"/>
              </w:rPr>
              <w:t>“乾元-私享”20</w:t>
            </w:r>
            <w:r w:rsidR="003E0378">
              <w:rPr>
                <w:rFonts w:asciiTheme="minorEastAsia" w:eastAsiaTheme="minorEastAsia" w:hAnsiTheme="minorEastAsia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hint="eastAsia"/>
                <w:szCs w:val="21"/>
              </w:rPr>
              <w:t>年第</w:t>
            </w:r>
            <w:r w:rsidR="003E0378">
              <w:rPr>
                <w:rFonts w:asciiTheme="minorEastAsia" w:eastAsiaTheme="minorEastAsia" w:hAnsiTheme="minorEastAsia"/>
                <w:szCs w:val="21"/>
              </w:rPr>
              <w:t>9</w:t>
            </w:r>
            <w:r w:rsidRPr="00987726">
              <w:rPr>
                <w:rFonts w:asciiTheme="minorEastAsia" w:eastAsiaTheme="minorEastAsia" w:hAnsiTheme="minorEastAsia" w:hint="eastAsia"/>
                <w:szCs w:val="21"/>
              </w:rPr>
              <w:t>1期私人银行人民币理财产品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987726" w:rsidP="0012630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11</w:t>
            </w:r>
          </w:p>
        </w:tc>
        <w:tc>
          <w:tcPr>
            <w:tcW w:w="1417" w:type="dxa"/>
            <w:vAlign w:val="center"/>
          </w:tcPr>
          <w:p w:rsidR="00E31B0A" w:rsidRPr="00E31B0A" w:rsidRDefault="00987726" w:rsidP="0012630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/1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:rsidR="00E31B0A" w:rsidRPr="00E31B0A" w:rsidRDefault="00987726" w:rsidP="0012630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/1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</w:p>
        </w:tc>
        <w:tc>
          <w:tcPr>
            <w:tcW w:w="1326" w:type="dxa"/>
            <w:vAlign w:val="center"/>
          </w:tcPr>
          <w:p w:rsidR="00E31B0A" w:rsidRPr="00E31B0A" w:rsidRDefault="00987726" w:rsidP="00126308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2021/1/1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740"/>
        <w:gridCol w:w="1662"/>
        <w:gridCol w:w="1599"/>
        <w:gridCol w:w="1842"/>
      </w:tblGrid>
      <w:tr w:rsidR="005204A8" w:rsidTr="00950609">
        <w:trPr>
          <w:trHeight w:val="285"/>
          <w:jc w:val="center"/>
        </w:trPr>
        <w:tc>
          <w:tcPr>
            <w:tcW w:w="2224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740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AD7F85" w:rsidTr="00950609">
        <w:trPr>
          <w:trHeight w:val="285"/>
          <w:jc w:val="center"/>
        </w:trPr>
        <w:tc>
          <w:tcPr>
            <w:tcW w:w="2224" w:type="dxa"/>
            <w:vAlign w:val="center"/>
          </w:tcPr>
          <w:p w:rsidR="00AD7F85" w:rsidRDefault="00AD7F85" w:rsidP="00AD7F85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740" w:type="dxa"/>
            <w:vAlign w:val="center"/>
          </w:tcPr>
          <w:p w:rsidR="00AD7F85" w:rsidRDefault="00AD7F85" w:rsidP="00AD7F8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247626</w:t>
            </w:r>
            <w:r w:rsidRPr="00950609">
              <w:rPr>
                <w:rFonts w:ascii="宋体" w:hAnsi="宋体" w:cs="宋体"/>
                <w:kern w:val="0"/>
              </w:rPr>
              <w:t>670.68</w:t>
            </w:r>
          </w:p>
        </w:tc>
        <w:tc>
          <w:tcPr>
            <w:tcW w:w="1662" w:type="dxa"/>
          </w:tcPr>
          <w:p w:rsidR="00AD7F85" w:rsidRPr="00AD7F85" w:rsidRDefault="00AD7F85" w:rsidP="00AD7F8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D7F85">
              <w:rPr>
                <w:rFonts w:ascii="宋体" w:hAnsi="宋体" w:cs="宋体"/>
                <w:kern w:val="0"/>
              </w:rPr>
              <w:t>47.12%</w:t>
            </w:r>
          </w:p>
        </w:tc>
        <w:tc>
          <w:tcPr>
            <w:tcW w:w="1599" w:type="dxa"/>
            <w:vAlign w:val="center"/>
          </w:tcPr>
          <w:p w:rsidR="00AD7F85" w:rsidRDefault="00AD7F85" w:rsidP="00AD7F8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247626</w:t>
            </w:r>
            <w:r w:rsidRPr="00950609">
              <w:rPr>
                <w:rFonts w:ascii="宋体" w:hAnsi="宋体" w:cs="宋体"/>
                <w:kern w:val="0"/>
              </w:rPr>
              <w:t>670.68</w:t>
            </w:r>
          </w:p>
        </w:tc>
        <w:tc>
          <w:tcPr>
            <w:tcW w:w="1842" w:type="dxa"/>
          </w:tcPr>
          <w:p w:rsidR="00AD7F85" w:rsidRPr="00AD7F85" w:rsidRDefault="00AD7F85" w:rsidP="00AD7F8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D7F85">
              <w:rPr>
                <w:rFonts w:ascii="宋体" w:hAnsi="宋体" w:cs="宋体"/>
                <w:kern w:val="0"/>
              </w:rPr>
              <w:t>47.12%</w:t>
            </w:r>
          </w:p>
        </w:tc>
      </w:tr>
      <w:tr w:rsidR="00AD7F85" w:rsidTr="00950609">
        <w:trPr>
          <w:trHeight w:val="285"/>
          <w:jc w:val="center"/>
        </w:trPr>
        <w:tc>
          <w:tcPr>
            <w:tcW w:w="2224" w:type="dxa"/>
            <w:vAlign w:val="center"/>
          </w:tcPr>
          <w:p w:rsidR="00AD7F85" w:rsidRDefault="00AD7F85" w:rsidP="00AD7F85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126308"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740" w:type="dxa"/>
            <w:vAlign w:val="center"/>
          </w:tcPr>
          <w:p w:rsidR="00AD7F85" w:rsidRDefault="00AD7F85" w:rsidP="00AD7F8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26308">
              <w:rPr>
                <w:rFonts w:ascii="宋体" w:hAnsi="宋体" w:cs="宋体"/>
                <w:kern w:val="0"/>
              </w:rPr>
              <w:t>277938016.3</w:t>
            </w:r>
          </w:p>
        </w:tc>
        <w:tc>
          <w:tcPr>
            <w:tcW w:w="1662" w:type="dxa"/>
          </w:tcPr>
          <w:p w:rsidR="00AD7F85" w:rsidRPr="00AD7F85" w:rsidRDefault="00AD7F85" w:rsidP="00AD7F8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D7F85">
              <w:rPr>
                <w:rFonts w:ascii="宋体" w:hAnsi="宋体" w:cs="宋体"/>
                <w:kern w:val="0"/>
              </w:rPr>
              <w:t>52.88%</w:t>
            </w:r>
          </w:p>
        </w:tc>
        <w:tc>
          <w:tcPr>
            <w:tcW w:w="1599" w:type="dxa"/>
            <w:vAlign w:val="center"/>
          </w:tcPr>
          <w:p w:rsidR="00AD7F85" w:rsidRDefault="00AD7F85" w:rsidP="00AD7F8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26308">
              <w:rPr>
                <w:rFonts w:ascii="宋体" w:hAnsi="宋体" w:cs="宋体"/>
                <w:kern w:val="0"/>
              </w:rPr>
              <w:t>277938016.3</w:t>
            </w:r>
          </w:p>
        </w:tc>
        <w:tc>
          <w:tcPr>
            <w:tcW w:w="1842" w:type="dxa"/>
          </w:tcPr>
          <w:p w:rsidR="00AD7F85" w:rsidRPr="00AD7F85" w:rsidRDefault="00AD7F85" w:rsidP="00AD7F8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AD7F85">
              <w:rPr>
                <w:rFonts w:ascii="宋体" w:hAnsi="宋体" w:cs="宋体"/>
                <w:kern w:val="0"/>
              </w:rPr>
              <w:t>52.88%</w:t>
            </w:r>
          </w:p>
        </w:tc>
      </w:tr>
      <w:tr w:rsidR="00AD7F85" w:rsidTr="00950609">
        <w:trPr>
          <w:trHeight w:val="285"/>
          <w:jc w:val="center"/>
        </w:trPr>
        <w:tc>
          <w:tcPr>
            <w:tcW w:w="2224" w:type="dxa"/>
            <w:vAlign w:val="center"/>
          </w:tcPr>
          <w:p w:rsidR="00AD7F85" w:rsidRDefault="00AD7F85" w:rsidP="00AD7F85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合计</w:t>
            </w:r>
          </w:p>
        </w:tc>
        <w:tc>
          <w:tcPr>
            <w:tcW w:w="1740" w:type="dxa"/>
            <w:vAlign w:val="center"/>
          </w:tcPr>
          <w:p w:rsidR="00AD7F85" w:rsidRDefault="00AD7F85" w:rsidP="00AD7F85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950609">
              <w:rPr>
                <w:rFonts w:ascii="宋体" w:hAnsi="宋体" w:cs="宋体"/>
                <w:kern w:val="0"/>
              </w:rPr>
              <w:t>525564686.98</w:t>
            </w:r>
          </w:p>
        </w:tc>
        <w:tc>
          <w:tcPr>
            <w:tcW w:w="1662" w:type="dxa"/>
            <w:vAlign w:val="center"/>
          </w:tcPr>
          <w:p w:rsidR="00AD7F85" w:rsidRDefault="00AD7F85" w:rsidP="00AD7F8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599" w:type="dxa"/>
            <w:vAlign w:val="center"/>
          </w:tcPr>
          <w:p w:rsidR="00AD7F85" w:rsidRDefault="00AD7F85" w:rsidP="00AD7F85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950609">
              <w:rPr>
                <w:rFonts w:ascii="宋体" w:hAnsi="宋体" w:cs="宋体"/>
                <w:kern w:val="0"/>
              </w:rPr>
              <w:t>525564686.98</w:t>
            </w:r>
          </w:p>
        </w:tc>
        <w:tc>
          <w:tcPr>
            <w:tcW w:w="1842" w:type="dxa"/>
            <w:vAlign w:val="center"/>
          </w:tcPr>
          <w:p w:rsidR="00AD7F85" w:rsidRDefault="00AD7F85" w:rsidP="00AD7F85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0"/>
        <w:gridCol w:w="1800"/>
        <w:gridCol w:w="1762"/>
      </w:tblGrid>
      <w:tr w:rsidR="005204A8" w:rsidRPr="00437C59" w:rsidTr="00987726">
        <w:trPr>
          <w:trHeight w:val="589"/>
          <w:jc w:val="center"/>
        </w:trPr>
        <w:tc>
          <w:tcPr>
            <w:tcW w:w="127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0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6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0" w:type="dxa"/>
            <w:vAlign w:val="center"/>
          </w:tcPr>
          <w:p w:rsidR="005204A8" w:rsidRPr="00C720CE" w:rsidRDefault="00126308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126308">
              <w:rPr>
                <w:rFonts w:asciiTheme="minorEastAsia" w:eastAsiaTheme="minorEastAsia" w:hAnsiTheme="minorEastAsia" w:hint="eastAsia"/>
              </w:rPr>
              <w:t>17赣吉安城投EB001</w:t>
            </w:r>
          </w:p>
        </w:tc>
        <w:tc>
          <w:tcPr>
            <w:tcW w:w="1800" w:type="dxa"/>
            <w:vAlign w:val="center"/>
          </w:tcPr>
          <w:p w:rsidR="005204A8" w:rsidRPr="00C720CE" w:rsidRDefault="00126308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126308">
              <w:rPr>
                <w:rFonts w:asciiTheme="minorEastAsia" w:eastAsiaTheme="minorEastAsia" w:hAnsiTheme="minorEastAsia"/>
              </w:rPr>
              <w:t>277938016.3</w:t>
            </w:r>
          </w:p>
        </w:tc>
        <w:tc>
          <w:tcPr>
            <w:tcW w:w="1762" w:type="dxa"/>
            <w:vAlign w:val="center"/>
          </w:tcPr>
          <w:p w:rsidR="005204A8" w:rsidRPr="00C720CE" w:rsidRDefault="00AD7F85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AD7F85">
              <w:rPr>
                <w:rFonts w:asciiTheme="minorEastAsia" w:eastAsiaTheme="minorEastAsia" w:hAnsiTheme="minorEastAsia"/>
              </w:rPr>
              <w:t>52.88%</w:t>
            </w:r>
          </w:p>
        </w:tc>
      </w:tr>
      <w:tr w:rsidR="0098772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69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80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762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98772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69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80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762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950609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950609">
              <w:rPr>
                <w:rFonts w:ascii="宋体" w:hAnsi="宋体" w:cs="宋体"/>
                <w:kern w:val="0"/>
              </w:rPr>
              <w:t>44050186320100001363-1113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902B7F">
        <w:rPr>
          <w:rFonts w:asciiTheme="minorEastAsia" w:eastAsiaTheme="minorEastAsia" w:hAnsiTheme="minorEastAsia"/>
          <w:color w:val="000000"/>
          <w:sz w:val="28"/>
          <w:szCs w:val="28"/>
        </w:rPr>
        <w:t>10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8C1347">
        <w:rPr>
          <w:rFonts w:asciiTheme="minorEastAsia" w:eastAsiaTheme="minorEastAsia" w:hAnsiTheme="minorEastAsia"/>
          <w:color w:val="000000"/>
          <w:sz w:val="28"/>
          <w:szCs w:val="28"/>
        </w:rPr>
        <w:t>28</w:t>
      </w:r>
      <w:bookmarkStart w:id="0" w:name="_GoBack"/>
      <w:bookmarkEnd w:id="0"/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AD7F85" w:rsidP="005204A8">
      <w:pPr>
        <w:jc w:val="center"/>
        <w:rPr>
          <w:b/>
          <w:color w:val="000000"/>
          <w:sz w:val="24"/>
          <w:szCs w:val="24"/>
        </w:rPr>
      </w:pPr>
      <w:r w:rsidRPr="00AD7F85">
        <w:rPr>
          <w:rFonts w:hint="eastAsia"/>
          <w:b/>
          <w:color w:val="000000"/>
          <w:sz w:val="24"/>
          <w:szCs w:val="24"/>
        </w:rPr>
        <w:t>“乾元</w:t>
      </w:r>
      <w:r w:rsidRPr="00AD7F85">
        <w:rPr>
          <w:rFonts w:hint="eastAsia"/>
          <w:b/>
          <w:color w:val="000000"/>
          <w:sz w:val="24"/>
          <w:szCs w:val="24"/>
        </w:rPr>
        <w:t>-</w:t>
      </w:r>
      <w:r w:rsidRPr="00AD7F85">
        <w:rPr>
          <w:rFonts w:hint="eastAsia"/>
          <w:b/>
          <w:color w:val="000000"/>
          <w:sz w:val="24"/>
          <w:szCs w:val="24"/>
        </w:rPr>
        <w:t>私享”</w:t>
      </w:r>
      <w:r w:rsidRPr="00AD7F85">
        <w:rPr>
          <w:rFonts w:hint="eastAsia"/>
          <w:b/>
          <w:color w:val="000000"/>
          <w:sz w:val="24"/>
          <w:szCs w:val="24"/>
        </w:rPr>
        <w:t>2020</w:t>
      </w:r>
      <w:r w:rsidRPr="00AD7F85">
        <w:rPr>
          <w:rFonts w:hint="eastAsia"/>
          <w:b/>
          <w:color w:val="000000"/>
          <w:sz w:val="24"/>
          <w:szCs w:val="24"/>
        </w:rPr>
        <w:t>年第</w:t>
      </w:r>
      <w:r w:rsidRPr="00AD7F85">
        <w:rPr>
          <w:rFonts w:hint="eastAsia"/>
          <w:b/>
          <w:color w:val="000000"/>
          <w:sz w:val="24"/>
          <w:szCs w:val="24"/>
        </w:rPr>
        <w:t>91</w:t>
      </w:r>
      <w:r w:rsidRPr="00AD7F85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902B7F"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902B7F">
        <w:rPr>
          <w:rFonts w:ascii="宋体" w:hAnsi="宋体"/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AD7F85" w:rsidRPr="00AD7F85">
        <w:rPr>
          <w:rFonts w:ascii="宋体" w:hAnsi="宋体" w:hint="eastAsia"/>
          <w:color w:val="000000"/>
          <w:szCs w:val="21"/>
        </w:rPr>
        <w:t>“乾元-私享”2020年第91期私人银行人民币理财产品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529"/>
        <w:gridCol w:w="1975"/>
        <w:gridCol w:w="1558"/>
        <w:gridCol w:w="1275"/>
        <w:gridCol w:w="1185"/>
      </w:tblGrid>
      <w:tr w:rsidR="00AD7F85" w:rsidTr="00AD7F85">
        <w:trPr>
          <w:trHeight w:val="765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AD7F85" w:rsidTr="00AD7F85">
        <w:trPr>
          <w:trHeight w:val="240"/>
          <w:jc w:val="center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AD7F85" w:rsidP="005A08AB">
            <w:pPr>
              <w:jc w:val="center"/>
            </w:pPr>
            <w:r w:rsidRPr="00AD7F85">
              <w:rPr>
                <w:rFonts w:hint="eastAsia"/>
              </w:rPr>
              <w:t>带回购条款的股权性融资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AD7F85" w:rsidP="005A08AB">
            <w:pPr>
              <w:jc w:val="center"/>
            </w:pPr>
            <w:r w:rsidRPr="00AD7F85">
              <w:rPr>
                <w:rFonts w:hint="eastAsia"/>
              </w:rPr>
              <w:t>吉安市城市建设投资开发公司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AD7F85" w:rsidP="005A08AB">
            <w:pPr>
              <w:jc w:val="center"/>
            </w:pPr>
            <w:r w:rsidRPr="00AD7F85">
              <w:rPr>
                <w:rFonts w:hint="eastAsia"/>
              </w:rPr>
              <w:t>17</w:t>
            </w:r>
            <w:r w:rsidRPr="00AD7F85">
              <w:rPr>
                <w:rFonts w:hint="eastAsia"/>
              </w:rPr>
              <w:t>赣吉安城投</w:t>
            </w:r>
            <w:r w:rsidRPr="00AD7F85">
              <w:rPr>
                <w:rFonts w:hint="eastAsia"/>
              </w:rPr>
              <w:t>EB001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AD7F85" w:rsidP="00AD7F85">
            <w:pPr>
              <w:jc w:val="center"/>
            </w:pPr>
            <w:r>
              <w:t>1529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22370E" w:rsidP="00AD7F85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5E8" w:rsidRDefault="00F115E8" w:rsidP="00747E15">
      <w:r>
        <w:separator/>
      </w:r>
    </w:p>
  </w:endnote>
  <w:endnote w:type="continuationSeparator" w:id="0">
    <w:p w:rsidR="00F115E8" w:rsidRDefault="00F115E8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5E8" w:rsidRDefault="00F115E8" w:rsidP="00747E15">
      <w:r>
        <w:separator/>
      </w:r>
    </w:p>
  </w:footnote>
  <w:footnote w:type="continuationSeparator" w:id="0">
    <w:p w:rsidR="00F115E8" w:rsidRDefault="00F115E8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473E"/>
    <w:rsid w:val="00050B6D"/>
    <w:rsid w:val="00063A00"/>
    <w:rsid w:val="00064987"/>
    <w:rsid w:val="000A1200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08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370E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D3F6C"/>
    <w:rsid w:val="003E0232"/>
    <w:rsid w:val="003E0378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86A00"/>
    <w:rsid w:val="00586C0E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D50"/>
    <w:rsid w:val="006A285C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172D9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010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151F3"/>
    <w:rsid w:val="00821DFE"/>
    <w:rsid w:val="00842AD9"/>
    <w:rsid w:val="00844195"/>
    <w:rsid w:val="00852D7B"/>
    <w:rsid w:val="00855DF8"/>
    <w:rsid w:val="0088235C"/>
    <w:rsid w:val="00887E97"/>
    <w:rsid w:val="008A3209"/>
    <w:rsid w:val="008A689A"/>
    <w:rsid w:val="008C1347"/>
    <w:rsid w:val="008E0006"/>
    <w:rsid w:val="008E54A7"/>
    <w:rsid w:val="008E7AFD"/>
    <w:rsid w:val="008F7A19"/>
    <w:rsid w:val="00900022"/>
    <w:rsid w:val="00902B7F"/>
    <w:rsid w:val="00907C16"/>
    <w:rsid w:val="00914F94"/>
    <w:rsid w:val="00920FF8"/>
    <w:rsid w:val="00923258"/>
    <w:rsid w:val="0092330C"/>
    <w:rsid w:val="0093043C"/>
    <w:rsid w:val="009331AC"/>
    <w:rsid w:val="00941557"/>
    <w:rsid w:val="00950609"/>
    <w:rsid w:val="00957B5C"/>
    <w:rsid w:val="00960A76"/>
    <w:rsid w:val="00961315"/>
    <w:rsid w:val="0096155A"/>
    <w:rsid w:val="0096707E"/>
    <w:rsid w:val="00976495"/>
    <w:rsid w:val="00985B43"/>
    <w:rsid w:val="00987726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D7F85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1F50"/>
    <w:rsid w:val="00D1203F"/>
    <w:rsid w:val="00D1212F"/>
    <w:rsid w:val="00D137A7"/>
    <w:rsid w:val="00D160FD"/>
    <w:rsid w:val="00D23DE7"/>
    <w:rsid w:val="00D30981"/>
    <w:rsid w:val="00D435E0"/>
    <w:rsid w:val="00D50E73"/>
    <w:rsid w:val="00D51247"/>
    <w:rsid w:val="00D5232C"/>
    <w:rsid w:val="00D545F7"/>
    <w:rsid w:val="00D570FB"/>
    <w:rsid w:val="00D57BDC"/>
    <w:rsid w:val="00D62D31"/>
    <w:rsid w:val="00D63459"/>
    <w:rsid w:val="00D720D5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6AA5"/>
    <w:rsid w:val="00EA7A9F"/>
    <w:rsid w:val="00EB262D"/>
    <w:rsid w:val="00EB5733"/>
    <w:rsid w:val="00EC16E4"/>
    <w:rsid w:val="00EC33D8"/>
    <w:rsid w:val="00ED276F"/>
    <w:rsid w:val="00EF28D6"/>
    <w:rsid w:val="00F00768"/>
    <w:rsid w:val="00F115E8"/>
    <w:rsid w:val="00F1679B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徐小泉</cp:lastModifiedBy>
  <cp:revision>15</cp:revision>
  <cp:lastPrinted>2019-01-03T08:39:00Z</cp:lastPrinted>
  <dcterms:created xsi:type="dcterms:W3CDTF">2020-04-10T09:55:00Z</dcterms:created>
  <dcterms:modified xsi:type="dcterms:W3CDTF">2020-10-28T12:22:00Z</dcterms:modified>
</cp:coreProperties>
</file>