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</w:t>
      </w:r>
      <w:r w:rsidR="006A28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6A285C">
        <w:rPr>
          <w:rFonts w:asciiTheme="minorEastAsia" w:eastAsiaTheme="minorEastAsia" w:hAnsiTheme="minorEastAsia"/>
          <w:b/>
          <w:color w:val="000000"/>
          <w:sz w:val="32"/>
          <w:szCs w:val="32"/>
        </w:rPr>
        <w:t>9</w:t>
      </w:r>
      <w:r w:rsidR="00C301E3">
        <w:rPr>
          <w:rFonts w:asciiTheme="minorEastAsia" w:eastAsiaTheme="minorEastAsia" w:hAnsiTheme="minorEastAsia"/>
          <w:b/>
          <w:color w:val="000000"/>
          <w:sz w:val="32"/>
          <w:szCs w:val="32"/>
        </w:rPr>
        <w:t>4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86A0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586A0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A285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“乾元-私享”2020年第9</w:t>
      </w:r>
      <w:r w:rsidR="00C301E3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C301E3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C301E3">
        <w:rPr>
          <w:rFonts w:asciiTheme="minorEastAsia" w:eastAsiaTheme="minorEastAsia" w:hAnsiTheme="minorEastAsia"/>
          <w:color w:val="000000"/>
          <w:sz w:val="28"/>
          <w:szCs w:val="28"/>
        </w:rPr>
        <w:t>18829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C301E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215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A285C" w:rsidP="00C301E3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</w:t>
            </w:r>
            <w:r w:rsidR="00C301E3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2</w:t>
            </w:r>
            <w:r w:rsidR="00586A0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DA2B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</w:t>
            </w:r>
            <w:r w:rsidR="00DA2B1D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AE7967">
              <w:rPr>
                <w:rFonts w:asciiTheme="minorEastAsia" w:eastAsiaTheme="minorEastAsia" w:hAnsiTheme="minorEastAsia"/>
                <w:szCs w:val="21"/>
              </w:rPr>
              <w:t>9</w:t>
            </w:r>
            <w:r w:rsidR="00C301E3">
              <w:rPr>
                <w:rFonts w:asciiTheme="minorEastAsia" w:eastAsiaTheme="minorEastAsia" w:hAnsiTheme="minorEastAsia"/>
                <w:szCs w:val="21"/>
              </w:rPr>
              <w:t>4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C301E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C301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C301E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C301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C301E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C301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C301E3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C301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C301E3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662"/>
        <w:gridCol w:w="1599"/>
        <w:gridCol w:w="1842"/>
      </w:tblGrid>
      <w:tr w:rsidR="005204A8" w:rsidTr="00950609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DA2B1D" w:rsidTr="005B5524">
        <w:trPr>
          <w:trHeight w:val="285"/>
          <w:jc w:val="center"/>
        </w:trPr>
        <w:tc>
          <w:tcPr>
            <w:tcW w:w="2224" w:type="dxa"/>
            <w:vAlign w:val="center"/>
          </w:tcPr>
          <w:p w:rsidR="00DA2B1D" w:rsidRDefault="00DA2B1D" w:rsidP="00DA2B1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DA2B1D" w:rsidRDefault="00DA2B1D" w:rsidP="00DA2B1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90334</w:t>
            </w:r>
            <w:r w:rsidRPr="00DA2B1D">
              <w:rPr>
                <w:rFonts w:ascii="宋体" w:hAnsi="宋体" w:cs="宋体"/>
                <w:kern w:val="0"/>
              </w:rPr>
              <w:t>808.21</w:t>
            </w:r>
          </w:p>
        </w:tc>
        <w:tc>
          <w:tcPr>
            <w:tcW w:w="1662" w:type="dxa"/>
          </w:tcPr>
          <w:p w:rsidR="00DA2B1D" w:rsidRPr="000B447B" w:rsidRDefault="00DA2B1D" w:rsidP="00DA2B1D">
            <w:pPr>
              <w:spacing w:line="360" w:lineRule="auto"/>
              <w:jc w:val="center"/>
            </w:pPr>
            <w:r w:rsidRPr="00DA2B1D">
              <w:rPr>
                <w:rFonts w:ascii="宋体" w:hAnsi="宋体" w:cs="宋体"/>
                <w:kern w:val="0"/>
              </w:rPr>
              <w:t>47.46%</w:t>
            </w:r>
          </w:p>
        </w:tc>
        <w:tc>
          <w:tcPr>
            <w:tcW w:w="1599" w:type="dxa"/>
            <w:vAlign w:val="center"/>
          </w:tcPr>
          <w:p w:rsidR="00DA2B1D" w:rsidRDefault="00DA2B1D" w:rsidP="00DA2B1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90334</w:t>
            </w:r>
            <w:r w:rsidRPr="00DA2B1D">
              <w:rPr>
                <w:rFonts w:ascii="宋体" w:hAnsi="宋体" w:cs="宋体"/>
                <w:kern w:val="0"/>
              </w:rPr>
              <w:t>808.21</w:t>
            </w:r>
          </w:p>
        </w:tc>
        <w:tc>
          <w:tcPr>
            <w:tcW w:w="1842" w:type="dxa"/>
          </w:tcPr>
          <w:p w:rsidR="00DA2B1D" w:rsidRPr="000B447B" w:rsidRDefault="00DA2B1D" w:rsidP="00DA2B1D">
            <w:pPr>
              <w:spacing w:line="360" w:lineRule="auto"/>
              <w:jc w:val="center"/>
            </w:pPr>
            <w:r w:rsidRPr="00DA2B1D">
              <w:rPr>
                <w:rFonts w:ascii="宋体" w:hAnsi="宋体" w:cs="宋体"/>
                <w:kern w:val="0"/>
              </w:rPr>
              <w:t>47.46%</w:t>
            </w:r>
          </w:p>
        </w:tc>
      </w:tr>
      <w:tr w:rsidR="00DA2B1D" w:rsidTr="005B5524">
        <w:trPr>
          <w:trHeight w:val="285"/>
          <w:jc w:val="center"/>
        </w:trPr>
        <w:tc>
          <w:tcPr>
            <w:tcW w:w="2224" w:type="dxa"/>
            <w:vAlign w:val="center"/>
          </w:tcPr>
          <w:p w:rsidR="00DA2B1D" w:rsidRDefault="00DA2B1D" w:rsidP="00DA2B1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A2B1D"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740" w:type="dxa"/>
            <w:vAlign w:val="center"/>
          </w:tcPr>
          <w:p w:rsidR="00DA2B1D" w:rsidRDefault="00DA2B1D" w:rsidP="00DA2B1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2B1D">
              <w:rPr>
                <w:rFonts w:ascii="宋体" w:hAnsi="宋体" w:cs="宋体"/>
                <w:kern w:val="0"/>
              </w:rPr>
              <w:t>100000000</w:t>
            </w:r>
          </w:p>
        </w:tc>
        <w:tc>
          <w:tcPr>
            <w:tcW w:w="1662" w:type="dxa"/>
          </w:tcPr>
          <w:p w:rsidR="00DA2B1D" w:rsidRDefault="00DA2B1D" w:rsidP="00DA2B1D">
            <w:pPr>
              <w:spacing w:line="360" w:lineRule="auto"/>
              <w:jc w:val="center"/>
            </w:pPr>
            <w:r w:rsidRPr="00DA2B1D">
              <w:rPr>
                <w:rFonts w:ascii="宋体" w:hAnsi="宋体" w:cs="宋体"/>
                <w:kern w:val="0"/>
              </w:rPr>
              <w:t>52.54%</w:t>
            </w:r>
          </w:p>
        </w:tc>
        <w:tc>
          <w:tcPr>
            <w:tcW w:w="1599" w:type="dxa"/>
            <w:vAlign w:val="center"/>
          </w:tcPr>
          <w:p w:rsidR="00DA2B1D" w:rsidRDefault="00DA2B1D" w:rsidP="00DA2B1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2B1D">
              <w:rPr>
                <w:rFonts w:ascii="宋体" w:hAnsi="宋体" w:cs="宋体"/>
                <w:kern w:val="0"/>
              </w:rPr>
              <w:t>100000000</w:t>
            </w:r>
          </w:p>
        </w:tc>
        <w:tc>
          <w:tcPr>
            <w:tcW w:w="1842" w:type="dxa"/>
          </w:tcPr>
          <w:p w:rsidR="00DA2B1D" w:rsidRDefault="00DA2B1D" w:rsidP="00DA2B1D">
            <w:pPr>
              <w:spacing w:line="360" w:lineRule="auto"/>
              <w:jc w:val="center"/>
            </w:pPr>
            <w:r w:rsidRPr="00DA2B1D">
              <w:rPr>
                <w:rFonts w:ascii="宋体" w:hAnsi="宋体" w:cs="宋体"/>
                <w:kern w:val="0"/>
              </w:rPr>
              <w:t>52.54%</w:t>
            </w:r>
          </w:p>
        </w:tc>
      </w:tr>
      <w:tr w:rsidR="00DA2B1D" w:rsidTr="005B5524">
        <w:trPr>
          <w:trHeight w:val="285"/>
          <w:jc w:val="center"/>
        </w:trPr>
        <w:tc>
          <w:tcPr>
            <w:tcW w:w="2224" w:type="dxa"/>
            <w:vAlign w:val="center"/>
          </w:tcPr>
          <w:p w:rsidR="00DA2B1D" w:rsidRDefault="00DA2B1D" w:rsidP="00DA2B1D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740" w:type="dxa"/>
            <w:vAlign w:val="center"/>
          </w:tcPr>
          <w:p w:rsidR="00DA2B1D" w:rsidRDefault="00DA2B1D" w:rsidP="00DA2B1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A2B1D">
              <w:rPr>
                <w:rFonts w:ascii="宋体" w:hAnsi="宋体" w:cs="宋体"/>
                <w:kern w:val="0"/>
              </w:rPr>
              <w:t>190334808.21</w:t>
            </w:r>
          </w:p>
        </w:tc>
        <w:tc>
          <w:tcPr>
            <w:tcW w:w="1662" w:type="dxa"/>
            <w:vAlign w:val="center"/>
          </w:tcPr>
          <w:p w:rsidR="00DA2B1D" w:rsidRDefault="00DA2B1D" w:rsidP="00DA2B1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599" w:type="dxa"/>
            <w:vAlign w:val="center"/>
          </w:tcPr>
          <w:p w:rsidR="00DA2B1D" w:rsidRDefault="00DA2B1D" w:rsidP="00DA2B1D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DA2B1D">
              <w:rPr>
                <w:rFonts w:ascii="宋体" w:hAnsi="宋体" w:cs="宋体"/>
                <w:kern w:val="0"/>
              </w:rPr>
              <w:t>190334808.21</w:t>
            </w:r>
          </w:p>
        </w:tc>
        <w:tc>
          <w:tcPr>
            <w:tcW w:w="1842" w:type="dxa"/>
            <w:vAlign w:val="center"/>
          </w:tcPr>
          <w:p w:rsidR="00DA2B1D" w:rsidRDefault="00DA2B1D" w:rsidP="00DA2B1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DA2B1D" w:rsidRPr="00437C59" w:rsidTr="004826C4">
        <w:trPr>
          <w:trHeight w:val="496"/>
          <w:jc w:val="center"/>
        </w:trPr>
        <w:tc>
          <w:tcPr>
            <w:tcW w:w="1270" w:type="dxa"/>
            <w:vAlign w:val="center"/>
          </w:tcPr>
          <w:p w:rsidR="00DA2B1D" w:rsidRPr="00C720CE" w:rsidRDefault="00DA2B1D" w:rsidP="00DA2B1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DA2B1D" w:rsidRPr="00C720CE" w:rsidRDefault="00DA2B1D" w:rsidP="00DA2B1D">
            <w:pPr>
              <w:jc w:val="center"/>
              <w:rPr>
                <w:rFonts w:asciiTheme="minorEastAsia" w:eastAsiaTheme="minorEastAsia" w:hAnsiTheme="minorEastAsia"/>
              </w:rPr>
            </w:pPr>
            <w:r w:rsidRPr="00DA2B1D">
              <w:rPr>
                <w:rFonts w:asciiTheme="minorEastAsia" w:eastAsiaTheme="minorEastAsia" w:hAnsiTheme="minorEastAsia" w:hint="eastAsia"/>
              </w:rPr>
              <w:t>17连万恒EB001</w:t>
            </w:r>
          </w:p>
        </w:tc>
        <w:tc>
          <w:tcPr>
            <w:tcW w:w="1800" w:type="dxa"/>
            <w:vAlign w:val="center"/>
          </w:tcPr>
          <w:p w:rsidR="00DA2B1D" w:rsidRDefault="00DA2B1D" w:rsidP="00DA2B1D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A2B1D">
              <w:rPr>
                <w:rFonts w:ascii="宋体" w:hAnsi="宋体" w:cs="宋体"/>
                <w:kern w:val="0"/>
              </w:rPr>
              <w:t>100000000</w:t>
            </w:r>
          </w:p>
        </w:tc>
        <w:tc>
          <w:tcPr>
            <w:tcW w:w="1762" w:type="dxa"/>
          </w:tcPr>
          <w:p w:rsidR="00DA2B1D" w:rsidRDefault="00DA2B1D" w:rsidP="00DA2B1D">
            <w:pPr>
              <w:spacing w:line="360" w:lineRule="auto"/>
              <w:jc w:val="center"/>
            </w:pPr>
            <w:r w:rsidRPr="00DA2B1D">
              <w:rPr>
                <w:rFonts w:ascii="宋体" w:hAnsi="宋体" w:cs="宋体"/>
                <w:kern w:val="0"/>
              </w:rPr>
              <w:t>52.54%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DA2B1D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DA2B1D">
              <w:rPr>
                <w:rFonts w:ascii="宋体" w:hAnsi="宋体" w:cs="宋体"/>
                <w:kern w:val="0"/>
              </w:rPr>
              <w:t>44050186320100001363-1116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02B7F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6F5F65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D7F85" w:rsidP="005204A8">
      <w:pPr>
        <w:jc w:val="center"/>
        <w:rPr>
          <w:b/>
          <w:color w:val="000000"/>
          <w:sz w:val="24"/>
          <w:szCs w:val="24"/>
        </w:rPr>
      </w:pPr>
      <w:r w:rsidRPr="00AD7F85">
        <w:rPr>
          <w:rFonts w:hint="eastAsia"/>
          <w:b/>
          <w:color w:val="000000"/>
          <w:sz w:val="24"/>
          <w:szCs w:val="24"/>
        </w:rPr>
        <w:t>“乾元</w:t>
      </w:r>
      <w:r w:rsidRPr="00AD7F85">
        <w:rPr>
          <w:rFonts w:hint="eastAsia"/>
          <w:b/>
          <w:color w:val="000000"/>
          <w:sz w:val="24"/>
          <w:szCs w:val="24"/>
        </w:rPr>
        <w:t>-</w:t>
      </w:r>
      <w:r w:rsidRPr="00AD7F85">
        <w:rPr>
          <w:rFonts w:hint="eastAsia"/>
          <w:b/>
          <w:color w:val="000000"/>
          <w:sz w:val="24"/>
          <w:szCs w:val="24"/>
        </w:rPr>
        <w:t>私享”</w:t>
      </w:r>
      <w:r w:rsidRPr="00AD7F85">
        <w:rPr>
          <w:rFonts w:hint="eastAsia"/>
          <w:b/>
          <w:color w:val="000000"/>
          <w:sz w:val="24"/>
          <w:szCs w:val="24"/>
        </w:rPr>
        <w:t>2020</w:t>
      </w:r>
      <w:r w:rsidRPr="00AD7F85">
        <w:rPr>
          <w:rFonts w:hint="eastAsia"/>
          <w:b/>
          <w:color w:val="000000"/>
          <w:sz w:val="24"/>
          <w:szCs w:val="24"/>
        </w:rPr>
        <w:t>年第</w:t>
      </w:r>
      <w:r w:rsidRPr="00AD7F85">
        <w:rPr>
          <w:rFonts w:hint="eastAsia"/>
          <w:b/>
          <w:color w:val="000000"/>
          <w:sz w:val="24"/>
          <w:szCs w:val="24"/>
        </w:rPr>
        <w:t>9</w:t>
      </w:r>
      <w:r w:rsidR="00936E76">
        <w:rPr>
          <w:b/>
          <w:color w:val="000000"/>
          <w:sz w:val="24"/>
          <w:szCs w:val="24"/>
        </w:rPr>
        <w:t>4</w:t>
      </w:r>
      <w:r w:rsidRPr="00AD7F8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02B7F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02B7F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D7F85" w:rsidRPr="00AD7F85">
        <w:rPr>
          <w:rFonts w:ascii="宋体" w:hAnsi="宋体" w:hint="eastAsia"/>
          <w:color w:val="000000"/>
          <w:szCs w:val="21"/>
        </w:rPr>
        <w:t>“乾元-私享”2020年第9</w:t>
      </w:r>
      <w:r w:rsidR="00936E76">
        <w:rPr>
          <w:rFonts w:ascii="宋体" w:hAnsi="宋体"/>
          <w:color w:val="000000"/>
          <w:szCs w:val="21"/>
        </w:rPr>
        <w:t>4</w:t>
      </w:r>
      <w:r w:rsidR="00AD7F85" w:rsidRPr="00AD7F85">
        <w:rPr>
          <w:rFonts w:ascii="宋体" w:hAnsi="宋体" w:hint="eastAsia"/>
          <w:color w:val="000000"/>
          <w:szCs w:val="21"/>
        </w:rPr>
        <w:t>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36E76" w:rsidP="005A08AB">
            <w:pPr>
              <w:jc w:val="center"/>
            </w:pPr>
            <w:r w:rsidRPr="00936E76">
              <w:rPr>
                <w:rFonts w:hint="eastAsia"/>
              </w:rPr>
              <w:t>股权收益权类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36E76" w:rsidP="005A08AB">
            <w:pPr>
              <w:jc w:val="center"/>
            </w:pPr>
            <w:r w:rsidRPr="00936E76">
              <w:rPr>
                <w:rFonts w:hint="eastAsia"/>
              </w:rPr>
              <w:t>辽宁时代万恒控股集团有限公司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936E76" w:rsidP="005A08AB">
            <w:pPr>
              <w:jc w:val="center"/>
            </w:pPr>
            <w:r w:rsidRPr="00936E76">
              <w:rPr>
                <w:rFonts w:hint="eastAsia"/>
              </w:rPr>
              <w:t>17</w:t>
            </w:r>
            <w:r w:rsidRPr="00936E76">
              <w:rPr>
                <w:rFonts w:hint="eastAsia"/>
              </w:rPr>
              <w:t>连万恒</w:t>
            </w:r>
            <w:r w:rsidRPr="00936E76">
              <w:rPr>
                <w:rFonts w:hint="eastAsia"/>
              </w:rPr>
              <w:t>EB001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936E76" w:rsidP="00AD7F85">
            <w:pPr>
              <w:jc w:val="center"/>
            </w:pPr>
            <w:r>
              <w:t>792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AD7F85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B3" w:rsidRDefault="007D08B3" w:rsidP="00747E15">
      <w:r>
        <w:separator/>
      </w:r>
    </w:p>
  </w:endnote>
  <w:endnote w:type="continuationSeparator" w:id="0">
    <w:p w:rsidR="007D08B3" w:rsidRDefault="007D08B3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B3" w:rsidRDefault="007D08B3" w:rsidP="00747E15">
      <w:r>
        <w:separator/>
      </w:r>
    </w:p>
  </w:footnote>
  <w:footnote w:type="continuationSeparator" w:id="0">
    <w:p w:rsidR="007D08B3" w:rsidRDefault="007D08B3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830DE"/>
    <w:rsid w:val="000A1200"/>
    <w:rsid w:val="000A58C0"/>
    <w:rsid w:val="000A7A07"/>
    <w:rsid w:val="000B2257"/>
    <w:rsid w:val="000B6D04"/>
    <w:rsid w:val="000F4B32"/>
    <w:rsid w:val="000F4ED6"/>
    <w:rsid w:val="000F5E7E"/>
    <w:rsid w:val="00106270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2370E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F03B9"/>
    <w:rsid w:val="006F51AA"/>
    <w:rsid w:val="006F5F65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D08B3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25</cp:revision>
  <cp:lastPrinted>2019-01-03T08:39:00Z</cp:lastPrinted>
  <dcterms:created xsi:type="dcterms:W3CDTF">2020-04-10T09:55:00Z</dcterms:created>
  <dcterms:modified xsi:type="dcterms:W3CDTF">2020-10-28T12:23:00Z</dcterms:modified>
</cp:coreProperties>
</file>