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AF" w:rsidRDefault="004059B1">
      <w:pPr>
        <w:spacing w:line="460" w:lineRule="exact"/>
        <w:jc w:val="center"/>
        <w:rPr>
          <w:rFonts w:ascii="宋体" w:hAnsi="宋体"/>
          <w:b/>
          <w:bCs/>
          <w:color w:val="006EB3"/>
        </w:rPr>
      </w:pPr>
      <w:r>
        <w:rPr>
          <w:rFonts w:ascii="宋体" w:hAnsi="宋体" w:hint="eastAsia"/>
          <w:b/>
          <w:bCs/>
          <w:color w:val="006EB3"/>
        </w:rPr>
        <w:t>中国建设银行天津市分行“乾元—天天盈”（按日）开放式资产组合型</w:t>
      </w:r>
    </w:p>
    <w:p w:rsidR="00AE5AAF" w:rsidRDefault="004059B1">
      <w:pPr>
        <w:spacing w:line="460" w:lineRule="exact"/>
        <w:jc w:val="center"/>
        <w:rPr>
          <w:rFonts w:ascii="宋体" w:hAnsi="宋体"/>
          <w:b/>
          <w:bCs/>
          <w:color w:val="006EB3"/>
        </w:rPr>
      </w:pPr>
      <w:r>
        <w:rPr>
          <w:rFonts w:ascii="宋体" w:hAnsi="宋体" w:hint="eastAsia"/>
          <w:b/>
          <w:bCs/>
          <w:color w:val="006EB3"/>
        </w:rPr>
        <w:t>人民币理财产品</w:t>
      </w:r>
      <w:r>
        <w:rPr>
          <w:rFonts w:ascii="宋体" w:hAnsi="宋体"/>
          <w:b/>
          <w:bCs/>
          <w:color w:val="006EB3"/>
        </w:rPr>
        <w:t>月度投资管理报告</w:t>
      </w:r>
    </w:p>
    <w:p w:rsidR="00AE5AAF" w:rsidRDefault="004059B1">
      <w:pPr>
        <w:spacing w:line="460" w:lineRule="exact"/>
        <w:jc w:val="center"/>
      </w:pPr>
      <w:r>
        <w:rPr>
          <w:rFonts w:hint="eastAsia"/>
        </w:rPr>
        <w:t>报告日：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C7283B">
        <w:rPr>
          <w:rFonts w:hint="eastAsia"/>
        </w:rPr>
        <w:t>10</w:t>
      </w:r>
      <w:r>
        <w:rPr>
          <w:rFonts w:hint="eastAsia"/>
        </w:rPr>
        <w:t>月</w:t>
      </w:r>
      <w:r w:rsidR="00C7283B">
        <w:rPr>
          <w:rFonts w:hint="eastAsia"/>
        </w:rPr>
        <w:t>9</w:t>
      </w:r>
      <w:r>
        <w:rPr>
          <w:rFonts w:hint="eastAsia"/>
        </w:rPr>
        <w:t>日</w:t>
      </w:r>
    </w:p>
    <w:p w:rsidR="00AE5AAF" w:rsidRDefault="00AE5AAF">
      <w:pPr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665BBD" w:rsidRDefault="00665BBD" w:rsidP="001C3ADE">
      <w:pPr>
        <w:ind w:firstLineChars="200" w:firstLine="420"/>
        <w:rPr>
          <w:rFonts w:ascii="宋体" w:hAnsi="宋体"/>
          <w:color w:val="000000"/>
          <w:szCs w:val="21"/>
        </w:rPr>
      </w:pPr>
    </w:p>
    <w:p w:rsidR="00AE5AAF" w:rsidRPr="001D01FF" w:rsidRDefault="004059B1" w:rsidP="001D01FF">
      <w:pPr>
        <w:widowControl/>
        <w:rPr>
          <w:rFonts w:ascii="Arial" w:hAnsi="Arial" w:cs="Arial"/>
          <w:color w:val="454545"/>
          <w:kern w:val="0"/>
          <w:sz w:val="16"/>
          <w:szCs w:val="16"/>
        </w:rPr>
      </w:pPr>
      <w:r>
        <w:rPr>
          <w:rFonts w:ascii="宋体" w:hAnsi="宋体" w:hint="eastAsia"/>
          <w:color w:val="000000"/>
          <w:szCs w:val="21"/>
        </w:rPr>
        <w:t>中国建设银行天津市分行“乾元—天天盈”（按日）开放式资产组合型人民币理财产品于2014年10月9日正式成立。截至报告日，本产品规模为</w:t>
      </w:r>
      <w:r w:rsidR="00C7283B" w:rsidRPr="00C7283B">
        <w:t>11</w:t>
      </w:r>
      <w:r w:rsidR="00C7283B">
        <w:rPr>
          <w:rFonts w:hint="eastAsia"/>
        </w:rPr>
        <w:t>,</w:t>
      </w:r>
      <w:r w:rsidR="00C7283B" w:rsidRPr="00C7283B">
        <w:t>301</w:t>
      </w:r>
      <w:r w:rsidR="00C7283B">
        <w:rPr>
          <w:rFonts w:hint="eastAsia"/>
        </w:rPr>
        <w:t>,</w:t>
      </w:r>
      <w:r w:rsidR="00C7283B" w:rsidRPr="00C7283B">
        <w:t>967</w:t>
      </w:r>
      <w:r w:rsidR="00C7283B">
        <w:rPr>
          <w:rFonts w:hint="eastAsia"/>
        </w:rPr>
        <w:t>,</w:t>
      </w:r>
      <w:r w:rsidR="00C7283B" w:rsidRPr="00C7283B">
        <w:t>810.51</w:t>
      </w:r>
      <w:r w:rsidRPr="001D01FF">
        <w:rPr>
          <w:rFonts w:hint="eastAsia"/>
        </w:rPr>
        <w:t>元</w:t>
      </w:r>
      <w:r>
        <w:rPr>
          <w:rFonts w:ascii="宋体" w:hAnsi="宋体" w:hint="eastAsia"/>
          <w:color w:val="000000"/>
          <w:szCs w:val="21"/>
        </w:rPr>
        <w:t>。</w:t>
      </w:r>
    </w:p>
    <w:p w:rsidR="001D01FF" w:rsidRPr="001C3ADE" w:rsidRDefault="001D01FF" w:rsidP="001D01FF">
      <w:pPr>
        <w:ind w:firstLineChars="200" w:firstLine="320"/>
        <w:rPr>
          <w:rFonts w:ascii="Arial" w:hAnsi="Arial" w:cs="Arial"/>
          <w:color w:val="454545"/>
          <w:kern w:val="0"/>
          <w:sz w:val="16"/>
          <w:szCs w:val="16"/>
        </w:rPr>
      </w:pPr>
    </w:p>
    <w:p w:rsidR="00AE5AAF" w:rsidRDefault="004059B1" w:rsidP="001D01FF">
      <w:p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一、产品基本情况</w:t>
      </w:r>
    </w:p>
    <w:p w:rsidR="00665BBD" w:rsidRDefault="00665BBD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产品管理人：</w:t>
      </w:r>
      <w:r>
        <w:rPr>
          <w:rFonts w:ascii="宋体" w:hAnsi="宋体" w:hint="eastAsia"/>
          <w:bCs/>
          <w:color w:val="000000"/>
          <w:szCs w:val="21"/>
        </w:rPr>
        <w:t>中国建设银行天津市分行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产品托管人：中国建设银行天津市分行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产品成立日：2014年10月9日</w:t>
      </w:r>
    </w:p>
    <w:p w:rsidR="00AE5AAF" w:rsidRDefault="004059B1">
      <w:pPr>
        <w:wordWrap w:val="0"/>
        <w:spacing w:line="460" w:lineRule="exact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产品到期日：无固定期限，中国建设银行有权提前终止产品</w:t>
      </w:r>
    </w:p>
    <w:p w:rsidR="003C23F3" w:rsidRDefault="003C23F3">
      <w:p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AE5AAF" w:rsidRDefault="004059B1">
      <w:p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二、报告期投资者实际收益率</w:t>
      </w:r>
    </w:p>
    <w:p w:rsidR="00665BBD" w:rsidRDefault="00665BBD" w:rsidP="003C23F3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3C23F3" w:rsidRDefault="003C23F3" w:rsidP="003C23F3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截至报告日，产品运作期为</w:t>
      </w:r>
      <w:r w:rsidR="005E6D58">
        <w:rPr>
          <w:rFonts w:ascii="宋体" w:hAnsi="宋体" w:hint="eastAsia"/>
          <w:color w:val="000000"/>
          <w:szCs w:val="21"/>
        </w:rPr>
        <w:t>1790</w:t>
      </w:r>
      <w:r>
        <w:rPr>
          <w:rFonts w:ascii="宋体" w:hAnsi="宋体" w:hint="eastAsia"/>
          <w:color w:val="000000"/>
          <w:szCs w:val="21"/>
        </w:rPr>
        <w:t>个自然日。根据2018年11月第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版产品说明书的约定，2018年11月30日（含）至2019年7月24日投资者实际收益率如下表所示：</w:t>
      </w:r>
    </w:p>
    <w:tbl>
      <w:tblPr>
        <w:tblW w:w="7860" w:type="dxa"/>
        <w:tblLayout w:type="fixed"/>
        <w:tblLook w:val="04A0" w:firstRow="1" w:lastRow="0" w:firstColumn="1" w:lastColumn="0" w:noHBand="0" w:noVBand="1"/>
      </w:tblPr>
      <w:tblGrid>
        <w:gridCol w:w="1380"/>
        <w:gridCol w:w="1080"/>
        <w:gridCol w:w="1080"/>
        <w:gridCol w:w="1080"/>
        <w:gridCol w:w="1080"/>
        <w:gridCol w:w="1080"/>
        <w:gridCol w:w="1080"/>
      </w:tblGrid>
      <w:tr w:rsidR="003C23F3" w:rsidTr="003C23F3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投资期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1≤T&lt;30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30≤T&lt;60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60≤T&lt;120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120≤T&lt;270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270≤T&lt;365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≥365</w:t>
            </w:r>
          </w:p>
        </w:tc>
      </w:tr>
      <w:tr w:rsidR="003C23F3" w:rsidTr="003C23F3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投资者实际收益率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2.8%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3.00%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3.25%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3.40%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3.90%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23F3" w:rsidRDefault="003C23F3" w:rsidP="00607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4.50%</w:t>
            </w:r>
          </w:p>
        </w:tc>
      </w:tr>
    </w:tbl>
    <w:p w:rsidR="00665BBD" w:rsidRDefault="00665BBD" w:rsidP="003C23F3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AE5AAF" w:rsidRDefault="003C23F3" w:rsidP="003C23F3">
      <w:pPr>
        <w:wordWrap w:val="0"/>
        <w:spacing w:line="4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根据2019年7月第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版产品说明书的约定，2019年7月24日（含）起投资者实际收益率如下表所示：</w:t>
      </w:r>
    </w:p>
    <w:tbl>
      <w:tblPr>
        <w:tblW w:w="7860" w:type="dxa"/>
        <w:tblLayout w:type="fixed"/>
        <w:tblLook w:val="04A0" w:firstRow="1" w:lastRow="0" w:firstColumn="1" w:lastColumn="0" w:noHBand="0" w:noVBand="1"/>
      </w:tblPr>
      <w:tblGrid>
        <w:gridCol w:w="1380"/>
        <w:gridCol w:w="1080"/>
        <w:gridCol w:w="1080"/>
        <w:gridCol w:w="1080"/>
        <w:gridCol w:w="1080"/>
        <w:gridCol w:w="1080"/>
        <w:gridCol w:w="1080"/>
      </w:tblGrid>
      <w:tr w:rsidR="00AE5AAF">
        <w:trPr>
          <w:trHeight w:val="52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投资期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1≤T&lt;30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30≤T&lt;60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60≤T&lt;120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120≤T&lt;270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270≤T&lt;365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≥365</w:t>
            </w:r>
          </w:p>
        </w:tc>
      </w:tr>
      <w:tr w:rsidR="00AE5AAF">
        <w:trPr>
          <w:trHeight w:val="52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投资者实际收益率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B37D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2.9</w:t>
            </w:r>
            <w:r w:rsidR="004059B1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AF" w:rsidRDefault="00405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 w:rsidR="00B37D5C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AE5AAF" w:rsidRDefault="004059B1" w:rsidP="003C23F3">
      <w:pPr>
        <w:spacing w:line="5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其中：T为投资期，单位：天</w:t>
      </w:r>
    </w:p>
    <w:p w:rsidR="00AE5AAF" w:rsidRDefault="004059B1">
      <w:pPr>
        <w:spacing w:line="56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相关收益及计算方法，请具体查阅产品说明书或收益率调整公告（如有）。</w:t>
      </w:r>
    </w:p>
    <w:p w:rsidR="003C23F3" w:rsidRDefault="003C23F3" w:rsidP="00665BBD">
      <w:pPr>
        <w:wordWrap w:val="0"/>
        <w:spacing w:line="460" w:lineRule="exact"/>
        <w:ind w:left="422"/>
        <w:rPr>
          <w:rFonts w:ascii="宋体" w:hAnsi="宋体"/>
          <w:b/>
          <w:color w:val="000000"/>
          <w:szCs w:val="21"/>
        </w:rPr>
      </w:pPr>
    </w:p>
    <w:p w:rsidR="008114DE" w:rsidRDefault="004059B1" w:rsidP="008114DE">
      <w:pPr>
        <w:numPr>
          <w:ilvl w:val="0"/>
          <w:numId w:val="1"/>
        </w:numPr>
        <w:wordWrap w:val="0"/>
        <w:spacing w:line="46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lastRenderedPageBreak/>
        <w:t>产品投资组合详细情况</w:t>
      </w:r>
      <w:bookmarkStart w:id="0" w:name="OLE_LINK1"/>
      <w:bookmarkStart w:id="1" w:name="OLE_LINK2"/>
    </w:p>
    <w:p w:rsidR="00AE5AAF" w:rsidRPr="008114DE" w:rsidRDefault="004059B1" w:rsidP="008114DE">
      <w:pPr>
        <w:wordWrap w:val="0"/>
        <w:spacing w:line="460" w:lineRule="exact"/>
        <w:ind w:left="422"/>
        <w:rPr>
          <w:rFonts w:ascii="宋体" w:hAnsi="宋体"/>
          <w:b/>
          <w:color w:val="000000"/>
          <w:szCs w:val="21"/>
        </w:rPr>
      </w:pPr>
      <w:r w:rsidRPr="008114DE">
        <w:rPr>
          <w:rFonts w:ascii="宋体" w:hAnsi="宋体" w:hint="eastAsia"/>
          <w:b/>
          <w:color w:val="000000"/>
          <w:szCs w:val="21"/>
        </w:rPr>
        <w:t>（一）投资组合的基本情况</w:t>
      </w:r>
      <w:bookmarkEnd w:id="0"/>
      <w:bookmarkEnd w:id="1"/>
    </w:p>
    <w:p w:rsidR="00AE5AAF" w:rsidRDefault="00990502" w:rsidP="00990502">
      <w:pPr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noProof/>
        </w:rPr>
        <w:drawing>
          <wp:inline distT="0" distB="0" distL="0" distR="0" wp14:anchorId="2419ECF6" wp14:editId="6A3E2872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21AC" w:rsidRDefault="003821AC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AE5AAF" w:rsidRDefault="004059B1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（二）</w:t>
      </w:r>
      <w:r>
        <w:rPr>
          <w:rFonts w:hint="eastAsia"/>
          <w:b/>
          <w:color w:val="000000"/>
          <w:szCs w:val="21"/>
        </w:rPr>
        <w:t>资产的行业占比构成</w:t>
      </w:r>
    </w:p>
    <w:p w:rsidR="00AE5AAF" w:rsidRDefault="00D93293" w:rsidP="00D93293">
      <w:pPr>
        <w:widowControl/>
        <w:wordWrap w:val="0"/>
        <w:ind w:firstLineChars="200" w:firstLine="420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53B4A73B" wp14:editId="5A414808">
            <wp:extent cx="4572000" cy="274320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5AAF" w:rsidRDefault="004059B1" w:rsidP="008114DE">
      <w:pPr>
        <w:widowControl/>
        <w:wordWrap w:val="0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（三）</w:t>
      </w:r>
      <w:r>
        <w:rPr>
          <w:rFonts w:ascii="宋体" w:hAnsi="宋体" w:hint="eastAsia"/>
          <w:b/>
          <w:color w:val="000000"/>
          <w:szCs w:val="21"/>
        </w:rPr>
        <w:t>投资资产的期限结构</w:t>
      </w:r>
    </w:p>
    <w:p w:rsidR="00AE5AAF" w:rsidRDefault="00976BD0">
      <w:pPr>
        <w:widowControl/>
        <w:wordWrap w:val="0"/>
        <w:ind w:firstLineChars="200" w:firstLine="420"/>
        <w:jc w:val="left"/>
      </w:pPr>
      <w:r>
        <w:rPr>
          <w:noProof/>
        </w:rPr>
        <w:lastRenderedPageBreak/>
        <w:drawing>
          <wp:inline distT="0" distB="0" distL="0" distR="0" wp14:anchorId="70133BEB" wp14:editId="563A9809">
            <wp:extent cx="4572000" cy="2743200"/>
            <wp:effectExtent l="0" t="0" r="1905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5AAF" w:rsidRDefault="004059B1">
      <w:pPr>
        <w:widowControl/>
        <w:wordWrap w:val="0"/>
        <w:spacing w:line="46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四、产品整体运作情况</w:t>
      </w:r>
    </w:p>
    <w:p w:rsidR="00AE5AAF" w:rsidRDefault="004059B1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（一）自本产品成立起至本报告日，产品管理人恪尽职守、勤勉尽责、谨慎管理，忠实履行有关法律、行政法规和相关文件的规定。</w:t>
      </w:r>
      <w:bookmarkStart w:id="2" w:name="_GoBack"/>
      <w:bookmarkEnd w:id="2"/>
    </w:p>
    <w:p w:rsidR="00AE5AAF" w:rsidRDefault="004059B1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（二）截至本报告日，</w:t>
      </w:r>
      <w:r w:rsidR="00906ED0">
        <w:rPr>
          <w:rFonts w:ascii="宋体" w:hAnsi="宋体" w:cs="宋体" w:hint="eastAsia"/>
          <w:color w:val="000000"/>
          <w:kern w:val="0"/>
          <w:szCs w:val="21"/>
        </w:rPr>
        <w:t>资产</w:t>
      </w:r>
      <w:r w:rsidR="00906ED0" w:rsidRPr="00906ED0">
        <w:rPr>
          <w:rFonts w:ascii="宋体" w:hAnsi="宋体" w:cs="宋体" w:hint="eastAsia"/>
          <w:color w:val="000000"/>
          <w:kern w:val="0"/>
          <w:szCs w:val="21"/>
        </w:rPr>
        <w:t>16天津航空EB007</w:t>
      </w:r>
      <w:r w:rsidR="00906ED0">
        <w:rPr>
          <w:rFonts w:ascii="宋体" w:hAnsi="宋体" w:cs="宋体" w:hint="eastAsia"/>
          <w:color w:val="000000"/>
          <w:kern w:val="0"/>
          <w:szCs w:val="21"/>
        </w:rPr>
        <w:t>风险状态由正常调整至关注，该笔资产尚能正常付息，不影响产品正常兑付。</w:t>
      </w:r>
      <w:proofErr w:type="gramStart"/>
      <w:r w:rsidR="00906ED0">
        <w:rPr>
          <w:rFonts w:ascii="宋体" w:hAnsi="宋体" w:cs="宋体" w:hint="eastAsia"/>
          <w:color w:val="000000"/>
          <w:kern w:val="0"/>
          <w:szCs w:val="21"/>
        </w:rPr>
        <w:t>其余</w:t>
      </w:r>
      <w:r>
        <w:rPr>
          <w:rFonts w:ascii="宋体" w:hAnsi="宋体" w:cs="宋体" w:hint="eastAsia"/>
          <w:color w:val="000000"/>
          <w:kern w:val="0"/>
          <w:szCs w:val="21"/>
        </w:rPr>
        <w:t>投资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资产正常运营，未发现有异常情况或者不利情况。</w:t>
      </w:r>
    </w:p>
    <w:p w:rsidR="00AE5AAF" w:rsidRDefault="004059B1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（三）本产品自成立至本报告日，没有发生涉诉及诉讼等损害投资者利益的情形。</w:t>
      </w:r>
    </w:p>
    <w:p w:rsidR="00AE5AAF" w:rsidRDefault="00AE5AAF">
      <w:pPr>
        <w:widowControl/>
        <w:wordWrap w:val="0"/>
        <w:spacing w:line="46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AE5AAF" w:rsidRDefault="004059B1">
      <w:pPr>
        <w:spacing w:line="560" w:lineRule="exact"/>
        <w:ind w:firstLineChars="200" w:firstLine="420"/>
        <w:jc w:val="right"/>
      </w:pPr>
      <w:r>
        <w:rPr>
          <w:rFonts w:hint="eastAsia"/>
        </w:rPr>
        <w:t>中国建设银行天津市分行</w:t>
      </w:r>
    </w:p>
    <w:p w:rsidR="00AE5AAF" w:rsidRDefault="004059B1">
      <w:pPr>
        <w:spacing w:line="560" w:lineRule="exact"/>
        <w:ind w:firstLineChars="200" w:firstLine="420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 w:rsidR="00976BD0">
        <w:rPr>
          <w:rFonts w:hint="eastAsia"/>
        </w:rPr>
        <w:t>10</w:t>
      </w:r>
      <w:r>
        <w:rPr>
          <w:rFonts w:hint="eastAsia"/>
        </w:rPr>
        <w:t>月</w:t>
      </w:r>
      <w:r w:rsidR="00976BD0">
        <w:rPr>
          <w:rFonts w:hint="eastAsia"/>
        </w:rPr>
        <w:t>9</w:t>
      </w:r>
      <w:r>
        <w:rPr>
          <w:rFonts w:hint="eastAsia"/>
        </w:rPr>
        <w:t>日</w:t>
      </w:r>
    </w:p>
    <w:p w:rsidR="00AE5AAF" w:rsidRDefault="00AE5AAF">
      <w:pPr>
        <w:spacing w:line="560" w:lineRule="exact"/>
        <w:ind w:firstLineChars="200" w:firstLine="420"/>
        <w:jc w:val="right"/>
      </w:pPr>
    </w:p>
    <w:sectPr w:rsidR="00AE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47" w:rsidRDefault="00AE0447" w:rsidP="00C7283B">
      <w:r>
        <w:separator/>
      </w:r>
    </w:p>
  </w:endnote>
  <w:endnote w:type="continuationSeparator" w:id="0">
    <w:p w:rsidR="00AE0447" w:rsidRDefault="00AE0447" w:rsidP="00C7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47" w:rsidRDefault="00AE0447" w:rsidP="00C7283B">
      <w:r>
        <w:separator/>
      </w:r>
    </w:p>
  </w:footnote>
  <w:footnote w:type="continuationSeparator" w:id="0">
    <w:p w:rsidR="00AE0447" w:rsidRDefault="00AE0447" w:rsidP="00C7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DA60B"/>
    <w:multiLevelType w:val="singleLevel"/>
    <w:tmpl w:val="5C2DA60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B5"/>
    <w:rsid w:val="00015659"/>
    <w:rsid w:val="00017294"/>
    <w:rsid w:val="000204E1"/>
    <w:rsid w:val="0002296B"/>
    <w:rsid w:val="00022FE8"/>
    <w:rsid w:val="0002417B"/>
    <w:rsid w:val="0003090B"/>
    <w:rsid w:val="000316E4"/>
    <w:rsid w:val="00031D09"/>
    <w:rsid w:val="00035BE6"/>
    <w:rsid w:val="0003625B"/>
    <w:rsid w:val="00053C8D"/>
    <w:rsid w:val="0006129B"/>
    <w:rsid w:val="000615CD"/>
    <w:rsid w:val="00072B1D"/>
    <w:rsid w:val="00073968"/>
    <w:rsid w:val="000825DE"/>
    <w:rsid w:val="000843FC"/>
    <w:rsid w:val="000849DF"/>
    <w:rsid w:val="000957B3"/>
    <w:rsid w:val="000A2044"/>
    <w:rsid w:val="000A403F"/>
    <w:rsid w:val="000D1D1C"/>
    <w:rsid w:val="000F20FA"/>
    <w:rsid w:val="001100D5"/>
    <w:rsid w:val="0011207A"/>
    <w:rsid w:val="00112A09"/>
    <w:rsid w:val="0014429E"/>
    <w:rsid w:val="00151ECD"/>
    <w:rsid w:val="00166FF1"/>
    <w:rsid w:val="00180C41"/>
    <w:rsid w:val="00181764"/>
    <w:rsid w:val="00193A69"/>
    <w:rsid w:val="00196897"/>
    <w:rsid w:val="00196CB7"/>
    <w:rsid w:val="001A1B5C"/>
    <w:rsid w:val="001A4DCB"/>
    <w:rsid w:val="001B1D2C"/>
    <w:rsid w:val="001B2AF3"/>
    <w:rsid w:val="001B65DF"/>
    <w:rsid w:val="001C2160"/>
    <w:rsid w:val="001C3ADE"/>
    <w:rsid w:val="001D01FF"/>
    <w:rsid w:val="001D62AC"/>
    <w:rsid w:val="001E72F4"/>
    <w:rsid w:val="001F2D0B"/>
    <w:rsid w:val="001F36A1"/>
    <w:rsid w:val="001F7A9E"/>
    <w:rsid w:val="00201C49"/>
    <w:rsid w:val="00201ED8"/>
    <w:rsid w:val="00207266"/>
    <w:rsid w:val="00212A65"/>
    <w:rsid w:val="00217A44"/>
    <w:rsid w:val="0023748F"/>
    <w:rsid w:val="002419D1"/>
    <w:rsid w:val="00251243"/>
    <w:rsid w:val="0025248C"/>
    <w:rsid w:val="0026593E"/>
    <w:rsid w:val="00277965"/>
    <w:rsid w:val="00281A03"/>
    <w:rsid w:val="00294BE5"/>
    <w:rsid w:val="002B7768"/>
    <w:rsid w:val="002C6B6E"/>
    <w:rsid w:val="002D1DC7"/>
    <w:rsid w:val="002E0020"/>
    <w:rsid w:val="002E2749"/>
    <w:rsid w:val="002E277F"/>
    <w:rsid w:val="002F7C8F"/>
    <w:rsid w:val="00300E66"/>
    <w:rsid w:val="003020BE"/>
    <w:rsid w:val="00304340"/>
    <w:rsid w:val="003065C3"/>
    <w:rsid w:val="003118E8"/>
    <w:rsid w:val="003157E2"/>
    <w:rsid w:val="00317E3B"/>
    <w:rsid w:val="0033234B"/>
    <w:rsid w:val="003343FF"/>
    <w:rsid w:val="00343209"/>
    <w:rsid w:val="00356A15"/>
    <w:rsid w:val="00360088"/>
    <w:rsid w:val="003606DE"/>
    <w:rsid w:val="00366684"/>
    <w:rsid w:val="0037195A"/>
    <w:rsid w:val="00372F18"/>
    <w:rsid w:val="003800D9"/>
    <w:rsid w:val="0038092D"/>
    <w:rsid w:val="003821AC"/>
    <w:rsid w:val="003916B6"/>
    <w:rsid w:val="00392520"/>
    <w:rsid w:val="003B129A"/>
    <w:rsid w:val="003C23F3"/>
    <w:rsid w:val="003C2426"/>
    <w:rsid w:val="003D3F6A"/>
    <w:rsid w:val="003D7662"/>
    <w:rsid w:val="003F1509"/>
    <w:rsid w:val="003F25B0"/>
    <w:rsid w:val="00401D0E"/>
    <w:rsid w:val="004037B0"/>
    <w:rsid w:val="004059B1"/>
    <w:rsid w:val="00406958"/>
    <w:rsid w:val="00420936"/>
    <w:rsid w:val="00432E28"/>
    <w:rsid w:val="00440945"/>
    <w:rsid w:val="00442A2E"/>
    <w:rsid w:val="0044518E"/>
    <w:rsid w:val="00451D51"/>
    <w:rsid w:val="00457ED1"/>
    <w:rsid w:val="0046282E"/>
    <w:rsid w:val="00464E5D"/>
    <w:rsid w:val="00466A50"/>
    <w:rsid w:val="0046716C"/>
    <w:rsid w:val="004706E8"/>
    <w:rsid w:val="00480D36"/>
    <w:rsid w:val="004A7410"/>
    <w:rsid w:val="004A7C64"/>
    <w:rsid w:val="004B1C5D"/>
    <w:rsid w:val="004B2103"/>
    <w:rsid w:val="004B3B0F"/>
    <w:rsid w:val="004C554C"/>
    <w:rsid w:val="004C7C5D"/>
    <w:rsid w:val="004D0F3A"/>
    <w:rsid w:val="004D3823"/>
    <w:rsid w:val="004E1D91"/>
    <w:rsid w:val="004E3BBE"/>
    <w:rsid w:val="004E43E7"/>
    <w:rsid w:val="004F4A17"/>
    <w:rsid w:val="00500360"/>
    <w:rsid w:val="00500503"/>
    <w:rsid w:val="00514527"/>
    <w:rsid w:val="00525607"/>
    <w:rsid w:val="00527941"/>
    <w:rsid w:val="00536240"/>
    <w:rsid w:val="005553F2"/>
    <w:rsid w:val="00556263"/>
    <w:rsid w:val="00556500"/>
    <w:rsid w:val="00556BB0"/>
    <w:rsid w:val="00570166"/>
    <w:rsid w:val="00572464"/>
    <w:rsid w:val="00576DE7"/>
    <w:rsid w:val="005945D2"/>
    <w:rsid w:val="005A0E35"/>
    <w:rsid w:val="005B2F89"/>
    <w:rsid w:val="005C150E"/>
    <w:rsid w:val="005C4CC5"/>
    <w:rsid w:val="005D1F9C"/>
    <w:rsid w:val="005D3017"/>
    <w:rsid w:val="005D76DA"/>
    <w:rsid w:val="005E21B3"/>
    <w:rsid w:val="005E4DD7"/>
    <w:rsid w:val="005E5C1F"/>
    <w:rsid w:val="005E6D58"/>
    <w:rsid w:val="005F3F0E"/>
    <w:rsid w:val="006025D9"/>
    <w:rsid w:val="00603A76"/>
    <w:rsid w:val="00612ED8"/>
    <w:rsid w:val="00617958"/>
    <w:rsid w:val="00621D47"/>
    <w:rsid w:val="00622D38"/>
    <w:rsid w:val="00623885"/>
    <w:rsid w:val="00631732"/>
    <w:rsid w:val="00634979"/>
    <w:rsid w:val="006349F7"/>
    <w:rsid w:val="00634AE8"/>
    <w:rsid w:val="00646993"/>
    <w:rsid w:val="00664529"/>
    <w:rsid w:val="00665BBD"/>
    <w:rsid w:val="0066719E"/>
    <w:rsid w:val="00670C35"/>
    <w:rsid w:val="0068175B"/>
    <w:rsid w:val="006A1B82"/>
    <w:rsid w:val="006A21DC"/>
    <w:rsid w:val="006B09A5"/>
    <w:rsid w:val="006B2AF8"/>
    <w:rsid w:val="006C0BFD"/>
    <w:rsid w:val="006D2A80"/>
    <w:rsid w:val="006E1817"/>
    <w:rsid w:val="006F02D0"/>
    <w:rsid w:val="006F2B0E"/>
    <w:rsid w:val="00703E05"/>
    <w:rsid w:val="007101E4"/>
    <w:rsid w:val="0072150D"/>
    <w:rsid w:val="0072778A"/>
    <w:rsid w:val="00735724"/>
    <w:rsid w:val="00740172"/>
    <w:rsid w:val="007530C4"/>
    <w:rsid w:val="00760F69"/>
    <w:rsid w:val="007679EC"/>
    <w:rsid w:val="0077465A"/>
    <w:rsid w:val="00775A49"/>
    <w:rsid w:val="00783219"/>
    <w:rsid w:val="0079400F"/>
    <w:rsid w:val="00795168"/>
    <w:rsid w:val="007A3BBD"/>
    <w:rsid w:val="007B5052"/>
    <w:rsid w:val="007D621C"/>
    <w:rsid w:val="007D7A46"/>
    <w:rsid w:val="007E0961"/>
    <w:rsid w:val="007E25A3"/>
    <w:rsid w:val="007E609C"/>
    <w:rsid w:val="007F02C1"/>
    <w:rsid w:val="007F68AD"/>
    <w:rsid w:val="00802DC8"/>
    <w:rsid w:val="0080376D"/>
    <w:rsid w:val="008114DE"/>
    <w:rsid w:val="00813808"/>
    <w:rsid w:val="0081517C"/>
    <w:rsid w:val="00821525"/>
    <w:rsid w:val="00825F23"/>
    <w:rsid w:val="00830191"/>
    <w:rsid w:val="00832867"/>
    <w:rsid w:val="00835435"/>
    <w:rsid w:val="00840DA1"/>
    <w:rsid w:val="00842F9E"/>
    <w:rsid w:val="00844EFA"/>
    <w:rsid w:val="00855538"/>
    <w:rsid w:val="008616B6"/>
    <w:rsid w:val="00863393"/>
    <w:rsid w:val="00874B91"/>
    <w:rsid w:val="00887B2A"/>
    <w:rsid w:val="00887BF3"/>
    <w:rsid w:val="00892323"/>
    <w:rsid w:val="008A6819"/>
    <w:rsid w:val="008B270C"/>
    <w:rsid w:val="008B48C1"/>
    <w:rsid w:val="008C0D00"/>
    <w:rsid w:val="008D1353"/>
    <w:rsid w:val="008D1EEE"/>
    <w:rsid w:val="008D4C4B"/>
    <w:rsid w:val="008D4F53"/>
    <w:rsid w:val="008E33B9"/>
    <w:rsid w:val="008E782A"/>
    <w:rsid w:val="008F21DF"/>
    <w:rsid w:val="008F42B5"/>
    <w:rsid w:val="0090202D"/>
    <w:rsid w:val="0090573E"/>
    <w:rsid w:val="00906ED0"/>
    <w:rsid w:val="009072BD"/>
    <w:rsid w:val="00910F8F"/>
    <w:rsid w:val="00917B85"/>
    <w:rsid w:val="00970241"/>
    <w:rsid w:val="009715CF"/>
    <w:rsid w:val="009735E0"/>
    <w:rsid w:val="00976BD0"/>
    <w:rsid w:val="00982E35"/>
    <w:rsid w:val="00990502"/>
    <w:rsid w:val="009942E0"/>
    <w:rsid w:val="0099488B"/>
    <w:rsid w:val="00995C1C"/>
    <w:rsid w:val="009A5143"/>
    <w:rsid w:val="009B0F7A"/>
    <w:rsid w:val="009B156A"/>
    <w:rsid w:val="009B5465"/>
    <w:rsid w:val="009C3463"/>
    <w:rsid w:val="009C5B38"/>
    <w:rsid w:val="009E7BE3"/>
    <w:rsid w:val="009F1B1F"/>
    <w:rsid w:val="009F3EAB"/>
    <w:rsid w:val="00A064E9"/>
    <w:rsid w:val="00A1249C"/>
    <w:rsid w:val="00A204EB"/>
    <w:rsid w:val="00A20A01"/>
    <w:rsid w:val="00A22AF2"/>
    <w:rsid w:val="00A3050F"/>
    <w:rsid w:val="00A34043"/>
    <w:rsid w:val="00A3442C"/>
    <w:rsid w:val="00A37C9C"/>
    <w:rsid w:val="00A403F6"/>
    <w:rsid w:val="00A442AE"/>
    <w:rsid w:val="00A47A9F"/>
    <w:rsid w:val="00A70DAC"/>
    <w:rsid w:val="00A83CFE"/>
    <w:rsid w:val="00A86D26"/>
    <w:rsid w:val="00A934BD"/>
    <w:rsid w:val="00A942B9"/>
    <w:rsid w:val="00AA4708"/>
    <w:rsid w:val="00AB0879"/>
    <w:rsid w:val="00AB7410"/>
    <w:rsid w:val="00AE0447"/>
    <w:rsid w:val="00AE4563"/>
    <w:rsid w:val="00AE5AAF"/>
    <w:rsid w:val="00AF241D"/>
    <w:rsid w:val="00AF7D5E"/>
    <w:rsid w:val="00B030A4"/>
    <w:rsid w:val="00B11D51"/>
    <w:rsid w:val="00B120C7"/>
    <w:rsid w:val="00B15327"/>
    <w:rsid w:val="00B16178"/>
    <w:rsid w:val="00B23A48"/>
    <w:rsid w:val="00B23C3D"/>
    <w:rsid w:val="00B254FA"/>
    <w:rsid w:val="00B3049D"/>
    <w:rsid w:val="00B31137"/>
    <w:rsid w:val="00B31D22"/>
    <w:rsid w:val="00B37D5C"/>
    <w:rsid w:val="00B44653"/>
    <w:rsid w:val="00B53C25"/>
    <w:rsid w:val="00B6574D"/>
    <w:rsid w:val="00B65EFE"/>
    <w:rsid w:val="00B67E0A"/>
    <w:rsid w:val="00B8177B"/>
    <w:rsid w:val="00B915D7"/>
    <w:rsid w:val="00B94742"/>
    <w:rsid w:val="00B947BE"/>
    <w:rsid w:val="00B9672B"/>
    <w:rsid w:val="00B9748E"/>
    <w:rsid w:val="00BA3958"/>
    <w:rsid w:val="00BA5D4A"/>
    <w:rsid w:val="00BC0BD2"/>
    <w:rsid w:val="00BC107B"/>
    <w:rsid w:val="00BC2DFC"/>
    <w:rsid w:val="00BC59EE"/>
    <w:rsid w:val="00BC5EEB"/>
    <w:rsid w:val="00BD21EF"/>
    <w:rsid w:val="00BE4125"/>
    <w:rsid w:val="00BF361C"/>
    <w:rsid w:val="00C015E7"/>
    <w:rsid w:val="00C03BD6"/>
    <w:rsid w:val="00C06B35"/>
    <w:rsid w:val="00C07919"/>
    <w:rsid w:val="00C130CA"/>
    <w:rsid w:val="00C15485"/>
    <w:rsid w:val="00C23E85"/>
    <w:rsid w:val="00C37F02"/>
    <w:rsid w:val="00C43250"/>
    <w:rsid w:val="00C461A6"/>
    <w:rsid w:val="00C51611"/>
    <w:rsid w:val="00C52277"/>
    <w:rsid w:val="00C61DBB"/>
    <w:rsid w:val="00C6356D"/>
    <w:rsid w:val="00C664E1"/>
    <w:rsid w:val="00C7283B"/>
    <w:rsid w:val="00C758BD"/>
    <w:rsid w:val="00CA5CBD"/>
    <w:rsid w:val="00CA7650"/>
    <w:rsid w:val="00CB478C"/>
    <w:rsid w:val="00CB47A5"/>
    <w:rsid w:val="00CD1C7B"/>
    <w:rsid w:val="00CF34A7"/>
    <w:rsid w:val="00CF4A0F"/>
    <w:rsid w:val="00CF73E4"/>
    <w:rsid w:val="00D00419"/>
    <w:rsid w:val="00D02AEB"/>
    <w:rsid w:val="00D0567A"/>
    <w:rsid w:val="00D13954"/>
    <w:rsid w:val="00D20D81"/>
    <w:rsid w:val="00D255AE"/>
    <w:rsid w:val="00D31573"/>
    <w:rsid w:val="00D412B6"/>
    <w:rsid w:val="00D46C56"/>
    <w:rsid w:val="00D5756B"/>
    <w:rsid w:val="00D65E3E"/>
    <w:rsid w:val="00D72A51"/>
    <w:rsid w:val="00D72B3A"/>
    <w:rsid w:val="00D83F06"/>
    <w:rsid w:val="00D91E9A"/>
    <w:rsid w:val="00D93293"/>
    <w:rsid w:val="00DA347C"/>
    <w:rsid w:val="00DA705A"/>
    <w:rsid w:val="00DB577B"/>
    <w:rsid w:val="00DC3091"/>
    <w:rsid w:val="00DE2FED"/>
    <w:rsid w:val="00DF2402"/>
    <w:rsid w:val="00E03143"/>
    <w:rsid w:val="00E06D33"/>
    <w:rsid w:val="00E1408A"/>
    <w:rsid w:val="00E14C06"/>
    <w:rsid w:val="00E14DFB"/>
    <w:rsid w:val="00E431F7"/>
    <w:rsid w:val="00E46041"/>
    <w:rsid w:val="00E57A67"/>
    <w:rsid w:val="00E70D61"/>
    <w:rsid w:val="00E737B7"/>
    <w:rsid w:val="00E73AE3"/>
    <w:rsid w:val="00E75A65"/>
    <w:rsid w:val="00E81D57"/>
    <w:rsid w:val="00E84485"/>
    <w:rsid w:val="00E95289"/>
    <w:rsid w:val="00E973CF"/>
    <w:rsid w:val="00EA0A83"/>
    <w:rsid w:val="00EB0CE3"/>
    <w:rsid w:val="00EB0E6B"/>
    <w:rsid w:val="00EB36EC"/>
    <w:rsid w:val="00EB589B"/>
    <w:rsid w:val="00EB62C7"/>
    <w:rsid w:val="00EC2F6B"/>
    <w:rsid w:val="00ED0576"/>
    <w:rsid w:val="00ED0580"/>
    <w:rsid w:val="00ED6337"/>
    <w:rsid w:val="00ED7FC0"/>
    <w:rsid w:val="00EE3E2C"/>
    <w:rsid w:val="00EE719E"/>
    <w:rsid w:val="00EE7597"/>
    <w:rsid w:val="00EF0E38"/>
    <w:rsid w:val="00F01C55"/>
    <w:rsid w:val="00F06F24"/>
    <w:rsid w:val="00F313E9"/>
    <w:rsid w:val="00F3473A"/>
    <w:rsid w:val="00F34C3A"/>
    <w:rsid w:val="00F43556"/>
    <w:rsid w:val="00F577BF"/>
    <w:rsid w:val="00F628E8"/>
    <w:rsid w:val="00F77881"/>
    <w:rsid w:val="00F94F97"/>
    <w:rsid w:val="00F95264"/>
    <w:rsid w:val="00FB6B6C"/>
    <w:rsid w:val="00FD61CC"/>
    <w:rsid w:val="00FF18C3"/>
    <w:rsid w:val="00FF2781"/>
    <w:rsid w:val="00FF4054"/>
    <w:rsid w:val="00FF5F70"/>
    <w:rsid w:val="00FF74E7"/>
    <w:rsid w:val="00FF7951"/>
    <w:rsid w:val="1DAA441D"/>
    <w:rsid w:val="201E7143"/>
    <w:rsid w:val="27AC4510"/>
    <w:rsid w:val="345F7DEA"/>
    <w:rsid w:val="3664363E"/>
    <w:rsid w:val="3D5B4951"/>
    <w:rsid w:val="507B7BC4"/>
    <w:rsid w:val="5F4C27D7"/>
    <w:rsid w:val="657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0000CC"/>
      <w:u w:val="single"/>
    </w:rPr>
  </w:style>
  <w:style w:type="character" w:styleId="a7">
    <w:name w:val="Hyperlink"/>
    <w:basedOn w:val="a0"/>
    <w:uiPriority w:val="99"/>
    <w:unhideWhenUsed/>
    <w:qFormat/>
    <w:rPr>
      <w:color w:val="0000CC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0000CC"/>
      <w:u w:val="single"/>
    </w:rPr>
  </w:style>
  <w:style w:type="character" w:styleId="a7">
    <w:name w:val="Hyperlink"/>
    <w:basedOn w:val="a0"/>
    <w:uiPriority w:val="99"/>
    <w:unhideWhenUsed/>
    <w:qFormat/>
    <w:rPr>
      <w:color w:val="0000CC"/>
      <w:u w:val="single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CB\Desktop\9&#26376;&#20221;&#22823;&#34920;\&#22825;&#27941;&#20998;&#34892;&#36164;&#20135;&#32452;&#21512;&#22411;&#29702;&#36130;&#20135;&#21697;&#21488;&#36134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投资组合基本情况</a:t>
            </a:r>
          </a:p>
        </c:rich>
      </c:tx>
      <c:layout>
        <c:manualLayout>
          <c:xMode val="edge"/>
          <c:yMode val="edge"/>
          <c:x val="0.2742222222222222"/>
          <c:y val="8.333333333333332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'日报表(发领导）'!$M$8:$M$11</c:f>
              <c:strCache>
                <c:ptCount val="4"/>
                <c:pt idx="0">
                  <c:v>现金及存款</c:v>
                </c:pt>
                <c:pt idx="1">
                  <c:v>债券</c:v>
                </c:pt>
                <c:pt idx="2">
                  <c:v>投资类</c:v>
                </c:pt>
                <c:pt idx="3">
                  <c:v>融资类资产</c:v>
                </c:pt>
              </c:strCache>
            </c:strRef>
          </c:cat>
          <c:val>
            <c:numRef>
              <c:f>'日报表(发领导）'!$N$8:$N$11</c:f>
              <c:numCache>
                <c:formatCode>#,##0.00_ </c:formatCode>
                <c:ptCount val="4"/>
                <c:pt idx="0">
                  <c:v>332161.45138699998</c:v>
                </c:pt>
                <c:pt idx="1">
                  <c:v>725350</c:v>
                </c:pt>
                <c:pt idx="2">
                  <c:v>130000</c:v>
                </c:pt>
                <c:pt idx="3">
                  <c:v>759184.99999927171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559864391950999"/>
          <c:y val="0.36126932050160399"/>
          <c:w val="0.18055555555555555"/>
          <c:h val="0.29444444444444445"/>
        </c:manualLayout>
      </c:layout>
      <c:overlay val="0"/>
      <c:txPr>
        <a:bodyPr/>
        <a:lstStyle/>
        <a:p>
          <a:pPr>
            <a:defRPr baseline="0">
              <a:latin typeface="仿宋" pitchFamily="49" charset="-122"/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资产行业占比构成</a:t>
            </a:r>
          </a:p>
        </c:rich>
      </c:tx>
      <c:layout>
        <c:manualLayout>
          <c:xMode val="edge"/>
          <c:yMode val="edge"/>
          <c:x val="0.27977777777777779"/>
          <c:y val="5.55555555555555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Sheet3!$E$3:$E$10</c:f>
              <c:strCache>
                <c:ptCount val="8"/>
                <c:pt idx="0">
                  <c:v>公共设施管理业</c:v>
                </c:pt>
                <c:pt idx="1">
                  <c:v>建筑业</c:v>
                </c:pt>
                <c:pt idx="2">
                  <c:v>交通运输业</c:v>
                </c:pt>
                <c:pt idx="3">
                  <c:v>市政公共设施管理</c:v>
                </c:pt>
                <c:pt idx="4">
                  <c:v>市政设施管理</c:v>
                </c:pt>
                <c:pt idx="5">
                  <c:v>铁路运输业</c:v>
                </c:pt>
                <c:pt idx="6">
                  <c:v>土木工程建筑业</c:v>
                </c:pt>
                <c:pt idx="7">
                  <c:v>租赁商务服务业</c:v>
                </c:pt>
              </c:strCache>
            </c:strRef>
          </c:cat>
          <c:val>
            <c:numRef>
              <c:f>Sheet3!$F$3:$F$10</c:f>
              <c:numCache>
                <c:formatCode>@</c:formatCode>
                <c:ptCount val="8"/>
                <c:pt idx="0">
                  <c:v>888997625.00999999</c:v>
                </c:pt>
                <c:pt idx="1">
                  <c:v>470898640.96000004</c:v>
                </c:pt>
                <c:pt idx="2">
                  <c:v>233079859.05999994</c:v>
                </c:pt>
                <c:pt idx="3">
                  <c:v>1344265431.53</c:v>
                </c:pt>
                <c:pt idx="4">
                  <c:v>300000000</c:v>
                </c:pt>
                <c:pt idx="5">
                  <c:v>1250000</c:v>
                </c:pt>
                <c:pt idx="6">
                  <c:v>400000000</c:v>
                </c:pt>
                <c:pt idx="7">
                  <c:v>219562060.66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059864391951008"/>
          <c:y val="0.22624234470691162"/>
          <c:w val="0.26940135608048993"/>
          <c:h val="0.66973753280839898"/>
        </c:manualLayout>
      </c:layout>
      <c:overlay val="0"/>
      <c:txPr>
        <a:bodyPr/>
        <a:lstStyle/>
        <a:p>
          <a:pPr>
            <a:defRPr baseline="0"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资产期限结构</a:t>
            </a:r>
          </a:p>
        </c:rich>
      </c:tx>
      <c:layout>
        <c:manualLayout>
          <c:xMode val="edge"/>
          <c:yMode val="edge"/>
          <c:x val="0.33274999999999999"/>
          <c:y val="5.55555555555555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Sheet1!$L$1:$L$5</c:f>
              <c:strCache>
                <c:ptCount val="5"/>
                <c:pt idx="0">
                  <c:v>现金及存款</c:v>
                </c:pt>
                <c:pt idx="1">
                  <c:v>半年（含）内到期</c:v>
                </c:pt>
                <c:pt idx="2">
                  <c:v>半年至一年（含）内到期</c:v>
                </c:pt>
                <c:pt idx="3">
                  <c:v>一年至五年（含）内到期</c:v>
                </c:pt>
                <c:pt idx="4">
                  <c:v>五年以上</c:v>
                </c:pt>
              </c:strCache>
            </c:strRef>
          </c:cat>
          <c:val>
            <c:numRef>
              <c:f>Sheet1!$M$1:$M$5</c:f>
              <c:numCache>
                <c:formatCode>0.00_);[Red]\(0.00\)</c:formatCode>
                <c:ptCount val="5"/>
                <c:pt idx="0" formatCode="#,##0.00_ ">
                  <c:v>332161.45138699998</c:v>
                </c:pt>
                <c:pt idx="1">
                  <c:v>3158037428.3899999</c:v>
                </c:pt>
                <c:pt idx="2">
                  <c:v>6996255374.7799997</c:v>
                </c:pt>
                <c:pt idx="3">
                  <c:v>7073708859.4099989</c:v>
                </c:pt>
                <c:pt idx="4">
                  <c:v>1240722165.8400002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893197725284341"/>
          <c:y val="0.20733996792067658"/>
          <c:w val="0.37217913385826773"/>
          <c:h val="0.69828302712160983"/>
        </c:manualLayout>
      </c:layout>
      <c:overlay val="0"/>
      <c:txPr>
        <a:bodyPr/>
        <a:lstStyle/>
        <a:p>
          <a:pPr>
            <a:defRPr baseline="0">
              <a:latin typeface="仿宋" pitchFamily="49" charset="-122"/>
              <a:ea typeface="彩虹粗仿宋" pitchFamily="65" charset="-122"/>
            </a:defRPr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邱伟燕</dc:creator>
  <cp:lastModifiedBy>王琨</cp:lastModifiedBy>
  <cp:revision>3</cp:revision>
  <dcterms:created xsi:type="dcterms:W3CDTF">2019-10-10T07:54:00Z</dcterms:created>
  <dcterms:modified xsi:type="dcterms:W3CDTF">2019-10-10T07:54:00Z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