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AF" w:rsidRDefault="004059B1">
      <w:pPr>
        <w:spacing w:line="460" w:lineRule="exact"/>
        <w:jc w:val="center"/>
        <w:rPr>
          <w:rFonts w:ascii="宋体" w:hAnsi="宋体"/>
          <w:b/>
          <w:bCs/>
          <w:color w:val="006EB3"/>
        </w:rPr>
      </w:pPr>
      <w:r>
        <w:rPr>
          <w:rFonts w:ascii="宋体" w:hAnsi="宋体" w:hint="eastAsia"/>
          <w:b/>
          <w:bCs/>
          <w:color w:val="006EB3"/>
        </w:rPr>
        <w:t>中国建设银行天津市分行“乾元—天天盈”（按日）开放式资产组合型</w:t>
      </w:r>
    </w:p>
    <w:p w:rsidR="00AE5AAF" w:rsidRDefault="004059B1">
      <w:pPr>
        <w:spacing w:line="460" w:lineRule="exact"/>
        <w:jc w:val="center"/>
        <w:rPr>
          <w:rFonts w:ascii="宋体" w:hAnsi="宋体"/>
          <w:b/>
          <w:bCs/>
          <w:color w:val="006EB3"/>
        </w:rPr>
      </w:pPr>
      <w:r>
        <w:rPr>
          <w:rFonts w:ascii="宋体" w:hAnsi="宋体" w:hint="eastAsia"/>
          <w:b/>
          <w:bCs/>
          <w:color w:val="006EB3"/>
        </w:rPr>
        <w:t>人民币理财产品</w:t>
      </w:r>
      <w:r>
        <w:rPr>
          <w:rFonts w:ascii="宋体" w:hAnsi="宋体"/>
          <w:b/>
          <w:bCs/>
          <w:color w:val="006EB3"/>
        </w:rPr>
        <w:t>月度投资管理报告</w:t>
      </w:r>
    </w:p>
    <w:p w:rsidR="00AE5AAF" w:rsidRDefault="004059B1">
      <w:pPr>
        <w:spacing w:line="460" w:lineRule="exact"/>
        <w:jc w:val="center"/>
      </w:pPr>
      <w:r>
        <w:rPr>
          <w:rFonts w:hint="eastAsia"/>
        </w:rPr>
        <w:t>报告日：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C7283B">
        <w:rPr>
          <w:rFonts w:hint="eastAsia"/>
        </w:rPr>
        <w:t>1</w:t>
      </w:r>
      <w:r w:rsidR="00ED78B0">
        <w:rPr>
          <w:rFonts w:hint="eastAsia"/>
        </w:rPr>
        <w:t>1</w:t>
      </w:r>
      <w:r>
        <w:rPr>
          <w:rFonts w:hint="eastAsia"/>
        </w:rPr>
        <w:t>月</w:t>
      </w:r>
      <w:r w:rsidR="00ED78B0">
        <w:rPr>
          <w:rFonts w:hint="eastAsia"/>
        </w:rPr>
        <w:t>1</w:t>
      </w:r>
      <w:r>
        <w:rPr>
          <w:rFonts w:hint="eastAsia"/>
        </w:rPr>
        <w:t>日</w:t>
      </w:r>
    </w:p>
    <w:p w:rsidR="00AE5AAF" w:rsidRDefault="00AE5AAF">
      <w:pPr>
        <w:spacing w:line="460" w:lineRule="exac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665BBD" w:rsidRDefault="00665BBD" w:rsidP="001C3ADE">
      <w:pPr>
        <w:ind w:firstLineChars="200" w:firstLine="420"/>
        <w:rPr>
          <w:rFonts w:ascii="宋体" w:hAnsi="宋体"/>
          <w:color w:val="000000"/>
          <w:szCs w:val="21"/>
        </w:rPr>
      </w:pPr>
    </w:p>
    <w:p w:rsidR="00AE5AAF" w:rsidRPr="001D01FF" w:rsidRDefault="004059B1" w:rsidP="001D01FF">
      <w:pPr>
        <w:widowControl/>
        <w:rPr>
          <w:rFonts w:ascii="Arial" w:hAnsi="Arial" w:cs="Arial"/>
          <w:color w:val="454545"/>
          <w:kern w:val="0"/>
          <w:sz w:val="16"/>
          <w:szCs w:val="16"/>
        </w:rPr>
      </w:pPr>
      <w:r>
        <w:rPr>
          <w:rFonts w:ascii="宋体" w:hAnsi="宋体" w:hint="eastAsia"/>
          <w:color w:val="000000"/>
          <w:szCs w:val="21"/>
        </w:rPr>
        <w:t>中国建设银行天津市分行“乾元—天天盈”（按日）开放式资产组合型人民币理财产品于2014年10月9日正式成立。截至报告日，本产品规模为</w:t>
      </w:r>
      <w:r w:rsidR="00ED78B0" w:rsidRPr="00ED78B0">
        <w:t>11</w:t>
      </w:r>
      <w:r w:rsidR="00ED78B0">
        <w:rPr>
          <w:rFonts w:hint="eastAsia"/>
        </w:rPr>
        <w:t>,</w:t>
      </w:r>
      <w:r w:rsidR="00ED78B0" w:rsidRPr="00ED78B0">
        <w:t>141</w:t>
      </w:r>
      <w:r w:rsidR="00ED78B0">
        <w:rPr>
          <w:rFonts w:hint="eastAsia"/>
        </w:rPr>
        <w:t>,</w:t>
      </w:r>
      <w:r w:rsidR="00ED78B0" w:rsidRPr="00ED78B0">
        <w:t>651</w:t>
      </w:r>
      <w:r w:rsidR="00ED78B0">
        <w:rPr>
          <w:rFonts w:hint="eastAsia"/>
        </w:rPr>
        <w:t>,</w:t>
      </w:r>
      <w:r w:rsidR="00ED78B0" w:rsidRPr="00ED78B0">
        <w:t>635.38</w:t>
      </w:r>
      <w:r w:rsidRPr="001D01FF">
        <w:rPr>
          <w:rFonts w:hint="eastAsia"/>
        </w:rPr>
        <w:t>元</w:t>
      </w:r>
      <w:r>
        <w:rPr>
          <w:rFonts w:ascii="宋体" w:hAnsi="宋体" w:hint="eastAsia"/>
          <w:color w:val="000000"/>
          <w:szCs w:val="21"/>
        </w:rPr>
        <w:t>。</w:t>
      </w:r>
    </w:p>
    <w:p w:rsidR="001D01FF" w:rsidRPr="001C3ADE" w:rsidRDefault="001D01FF" w:rsidP="001D01FF">
      <w:pPr>
        <w:ind w:firstLineChars="200" w:firstLine="320"/>
        <w:rPr>
          <w:rFonts w:ascii="Arial" w:hAnsi="Arial" w:cs="Arial"/>
          <w:color w:val="454545"/>
          <w:kern w:val="0"/>
          <w:sz w:val="16"/>
          <w:szCs w:val="16"/>
        </w:rPr>
      </w:pPr>
    </w:p>
    <w:p w:rsidR="00AE5AAF" w:rsidRDefault="004059B1" w:rsidP="001D01FF">
      <w:pPr>
        <w:wordWrap w:val="0"/>
        <w:spacing w:line="4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一、产品基本情况</w:t>
      </w:r>
    </w:p>
    <w:p w:rsidR="00665BBD" w:rsidRDefault="00665BBD">
      <w:pPr>
        <w:wordWrap w:val="0"/>
        <w:spacing w:line="46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AE5AAF" w:rsidRDefault="004059B1">
      <w:pPr>
        <w:wordWrap w:val="0"/>
        <w:spacing w:line="46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产品管理人：</w:t>
      </w:r>
      <w:r>
        <w:rPr>
          <w:rFonts w:ascii="宋体" w:hAnsi="宋体" w:hint="eastAsia"/>
          <w:bCs/>
          <w:color w:val="000000"/>
          <w:szCs w:val="21"/>
        </w:rPr>
        <w:t>中国建设银行天津市分行</w:t>
      </w:r>
    </w:p>
    <w:p w:rsidR="00AE5AAF" w:rsidRDefault="004059B1">
      <w:pPr>
        <w:wordWrap w:val="0"/>
        <w:spacing w:line="46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产品托管人：中国建设银行天津市分行</w:t>
      </w:r>
    </w:p>
    <w:p w:rsidR="00AE5AAF" w:rsidRDefault="004059B1">
      <w:pPr>
        <w:wordWrap w:val="0"/>
        <w:spacing w:line="46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产品成立日：2014年10月9日</w:t>
      </w:r>
    </w:p>
    <w:p w:rsidR="00AE5AAF" w:rsidRDefault="004059B1">
      <w:pPr>
        <w:wordWrap w:val="0"/>
        <w:spacing w:line="460" w:lineRule="exact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产品到期日：无固定期限，中国建设银行有权提前终止产品</w:t>
      </w:r>
    </w:p>
    <w:p w:rsidR="003C23F3" w:rsidRDefault="003C23F3">
      <w:pPr>
        <w:wordWrap w:val="0"/>
        <w:spacing w:line="460" w:lineRule="exact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AE5AAF" w:rsidRDefault="004059B1">
      <w:pPr>
        <w:wordWrap w:val="0"/>
        <w:spacing w:line="4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二、报告期投资者实际收益率</w:t>
      </w:r>
    </w:p>
    <w:p w:rsidR="00665BBD" w:rsidRDefault="00665BBD" w:rsidP="003C23F3">
      <w:pPr>
        <w:wordWrap w:val="0"/>
        <w:spacing w:line="46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3C23F3" w:rsidRDefault="003C23F3" w:rsidP="003C23F3">
      <w:pPr>
        <w:wordWrap w:val="0"/>
        <w:spacing w:line="4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截至报告日，产品运作期为</w:t>
      </w:r>
      <w:r w:rsidR="00ED78B0">
        <w:rPr>
          <w:rFonts w:ascii="宋体" w:hAnsi="宋体" w:hint="eastAsia"/>
          <w:color w:val="000000"/>
          <w:szCs w:val="21"/>
        </w:rPr>
        <w:t>1849</w:t>
      </w:r>
      <w:r>
        <w:rPr>
          <w:rFonts w:ascii="宋体" w:hAnsi="宋体" w:hint="eastAsia"/>
          <w:color w:val="000000"/>
          <w:szCs w:val="21"/>
        </w:rPr>
        <w:t>个自然日。根据201</w:t>
      </w:r>
      <w:r w:rsidR="00811A29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年</w:t>
      </w:r>
      <w:r w:rsidR="00811A29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月第</w:t>
      </w:r>
      <w:r w:rsidR="009B35DC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版产品说明书的约定，201</w:t>
      </w:r>
      <w:r w:rsidR="00811A29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年</w:t>
      </w:r>
      <w:r w:rsidR="00811A29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811A29">
        <w:rPr>
          <w:rFonts w:ascii="宋体" w:hAnsi="宋体" w:hint="eastAsia"/>
          <w:color w:val="000000"/>
          <w:szCs w:val="21"/>
        </w:rPr>
        <w:t>5日（含）起</w:t>
      </w:r>
      <w:r>
        <w:rPr>
          <w:rFonts w:ascii="宋体" w:hAnsi="宋体" w:hint="eastAsia"/>
          <w:color w:val="000000"/>
          <w:szCs w:val="21"/>
        </w:rPr>
        <w:t>投资者实际收益率如下表所示：</w:t>
      </w:r>
    </w:p>
    <w:tbl>
      <w:tblPr>
        <w:tblW w:w="7860" w:type="dxa"/>
        <w:tblLayout w:type="fixed"/>
        <w:tblLook w:val="04A0" w:firstRow="1" w:lastRow="0" w:firstColumn="1" w:lastColumn="0" w:noHBand="0" w:noVBand="1"/>
      </w:tblPr>
      <w:tblGrid>
        <w:gridCol w:w="1380"/>
        <w:gridCol w:w="1080"/>
        <w:gridCol w:w="1080"/>
        <w:gridCol w:w="1080"/>
        <w:gridCol w:w="1080"/>
        <w:gridCol w:w="1080"/>
        <w:gridCol w:w="1080"/>
      </w:tblGrid>
      <w:tr w:rsidR="003C23F3" w:rsidTr="003C23F3">
        <w:trPr>
          <w:trHeight w:val="52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投资期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1≤T&lt;30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30≤T&lt;60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60≤T&lt;120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120≤T&lt;270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270≤T&lt;365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≥365</w:t>
            </w:r>
          </w:p>
        </w:tc>
      </w:tr>
      <w:tr w:rsidR="003C23F3" w:rsidTr="003C23F3">
        <w:trPr>
          <w:trHeight w:val="52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投资者实际收益率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811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 w:rsidR="00811A29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811A29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2.80</w:t>
            </w:r>
            <w:r w:rsidR="003C23F3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811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="00811A29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811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="00811A29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811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="00811A29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811A29" w:rsidP="00811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3.90</w:t>
            </w:r>
            <w:r w:rsidR="003C23F3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</w:tbl>
    <w:p w:rsidR="00665BBD" w:rsidRDefault="00665BBD" w:rsidP="003C23F3">
      <w:pPr>
        <w:wordWrap w:val="0"/>
        <w:spacing w:line="46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AE5AAF" w:rsidRDefault="003C23F3" w:rsidP="003C23F3">
      <w:pPr>
        <w:wordWrap w:val="0"/>
        <w:spacing w:line="4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根据2019年7月第</w:t>
      </w:r>
      <w:r w:rsidR="009B35DC"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版产品说明书的约定，2019年7月24日（含）起</w:t>
      </w:r>
      <w:r w:rsidR="00811A29">
        <w:rPr>
          <w:rFonts w:ascii="宋体" w:hAnsi="宋体" w:hint="eastAsia"/>
          <w:color w:val="000000"/>
          <w:szCs w:val="21"/>
        </w:rPr>
        <w:t>至2019年9月4日（含）</w:t>
      </w:r>
      <w:r>
        <w:rPr>
          <w:rFonts w:ascii="宋体" w:hAnsi="宋体" w:hint="eastAsia"/>
          <w:color w:val="000000"/>
          <w:szCs w:val="21"/>
        </w:rPr>
        <w:t>投资者实际收益率如下表所示：</w:t>
      </w:r>
    </w:p>
    <w:tbl>
      <w:tblPr>
        <w:tblW w:w="7860" w:type="dxa"/>
        <w:tblLayout w:type="fixed"/>
        <w:tblLook w:val="04A0" w:firstRow="1" w:lastRow="0" w:firstColumn="1" w:lastColumn="0" w:noHBand="0" w:noVBand="1"/>
      </w:tblPr>
      <w:tblGrid>
        <w:gridCol w:w="1380"/>
        <w:gridCol w:w="1080"/>
        <w:gridCol w:w="1080"/>
        <w:gridCol w:w="1080"/>
        <w:gridCol w:w="1080"/>
        <w:gridCol w:w="1080"/>
        <w:gridCol w:w="1080"/>
      </w:tblGrid>
      <w:tr w:rsidR="00AE5AAF">
        <w:trPr>
          <w:trHeight w:val="52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投资期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1≤T&lt;30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30≤T&lt;60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60≤T&lt;120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120≤T&lt;270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270≤T&lt;365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≥365</w:t>
            </w:r>
          </w:p>
        </w:tc>
      </w:tr>
      <w:tr w:rsidR="00AE5AAF">
        <w:trPr>
          <w:trHeight w:val="52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投资者实际收益率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B37D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2.9</w:t>
            </w:r>
            <w:r w:rsidR="004059B1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="00B37D5C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="00B37D5C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="00B37D5C"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</w:t>
            </w:r>
            <w:r w:rsidR="00B37D5C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</w:tbl>
    <w:p w:rsidR="00AE5AAF" w:rsidRDefault="004059B1" w:rsidP="003C23F3">
      <w:pPr>
        <w:spacing w:line="5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其中：T为投资期，单位：天</w:t>
      </w:r>
    </w:p>
    <w:p w:rsidR="00AE5AAF" w:rsidRDefault="004059B1">
      <w:pPr>
        <w:spacing w:line="5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相关收益及计算方法，请具体查阅产品说明书或收益率调整公告（如有）。</w:t>
      </w:r>
    </w:p>
    <w:p w:rsidR="003C23F3" w:rsidRDefault="003C23F3" w:rsidP="00665BBD">
      <w:pPr>
        <w:wordWrap w:val="0"/>
        <w:spacing w:line="460" w:lineRule="exact"/>
        <w:ind w:left="422"/>
        <w:rPr>
          <w:rFonts w:ascii="宋体" w:hAnsi="宋体"/>
          <w:b/>
          <w:color w:val="000000"/>
          <w:szCs w:val="21"/>
        </w:rPr>
      </w:pPr>
    </w:p>
    <w:p w:rsidR="008114DE" w:rsidRDefault="004059B1" w:rsidP="008114DE">
      <w:pPr>
        <w:numPr>
          <w:ilvl w:val="0"/>
          <w:numId w:val="1"/>
        </w:numPr>
        <w:wordWrap w:val="0"/>
        <w:spacing w:line="4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lastRenderedPageBreak/>
        <w:t>产品投资组合详细情况</w:t>
      </w:r>
      <w:bookmarkStart w:id="0" w:name="OLE_LINK1"/>
      <w:bookmarkStart w:id="1" w:name="OLE_LINK2"/>
    </w:p>
    <w:p w:rsidR="00AE5AAF" w:rsidRPr="008114DE" w:rsidRDefault="004059B1" w:rsidP="008114DE">
      <w:pPr>
        <w:wordWrap w:val="0"/>
        <w:spacing w:line="460" w:lineRule="exact"/>
        <w:ind w:left="422"/>
        <w:rPr>
          <w:rFonts w:ascii="宋体" w:hAnsi="宋体"/>
          <w:b/>
          <w:color w:val="000000"/>
          <w:szCs w:val="21"/>
        </w:rPr>
      </w:pPr>
      <w:r w:rsidRPr="008114DE">
        <w:rPr>
          <w:rFonts w:ascii="宋体" w:hAnsi="宋体" w:hint="eastAsia"/>
          <w:b/>
          <w:color w:val="000000"/>
          <w:szCs w:val="21"/>
        </w:rPr>
        <w:t>（一）投资组合的基本情况</w:t>
      </w:r>
      <w:bookmarkEnd w:id="0"/>
      <w:bookmarkEnd w:id="1"/>
    </w:p>
    <w:p w:rsidR="00AE5AAF" w:rsidRDefault="00807132" w:rsidP="00807132">
      <w:pPr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noProof/>
        </w:rPr>
        <w:drawing>
          <wp:inline distT="0" distB="0" distL="0" distR="0" wp14:anchorId="1FF3B4FD" wp14:editId="507E8850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821AC" w:rsidRDefault="003821AC">
      <w:pPr>
        <w:widowControl/>
        <w:wordWrap w:val="0"/>
        <w:spacing w:line="460" w:lineRule="exact"/>
        <w:ind w:firstLineChars="200" w:firstLine="422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AE5AAF" w:rsidRDefault="004059B1">
      <w:pPr>
        <w:widowControl/>
        <w:wordWrap w:val="0"/>
        <w:spacing w:line="460" w:lineRule="exact"/>
        <w:ind w:firstLineChars="200" w:firstLine="422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（二）</w:t>
      </w:r>
      <w:r>
        <w:rPr>
          <w:rFonts w:hint="eastAsia"/>
          <w:b/>
          <w:color w:val="000000"/>
          <w:szCs w:val="21"/>
        </w:rPr>
        <w:t>资产的行业占比构成</w:t>
      </w:r>
    </w:p>
    <w:p w:rsidR="00AE5AAF" w:rsidRDefault="005D42B5" w:rsidP="005D42B5">
      <w:pPr>
        <w:widowControl/>
        <w:wordWrap w:val="0"/>
        <w:ind w:firstLineChars="200" w:firstLine="420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noProof/>
        </w:rPr>
        <w:drawing>
          <wp:inline distT="0" distB="0" distL="0" distR="0" wp14:anchorId="2FD51C44" wp14:editId="21A2D638">
            <wp:extent cx="4572000" cy="2743200"/>
            <wp:effectExtent l="0" t="0" r="19050" b="1905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5AAF" w:rsidRDefault="004059B1" w:rsidP="008114DE">
      <w:pPr>
        <w:widowControl/>
        <w:wordWrap w:val="0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（三）</w:t>
      </w:r>
      <w:r>
        <w:rPr>
          <w:rFonts w:ascii="宋体" w:hAnsi="宋体" w:hint="eastAsia"/>
          <w:b/>
          <w:color w:val="000000"/>
          <w:szCs w:val="21"/>
        </w:rPr>
        <w:t>投资资产的期限结构</w:t>
      </w:r>
    </w:p>
    <w:p w:rsidR="00AE5AAF" w:rsidRDefault="00A000F6">
      <w:pPr>
        <w:widowControl/>
        <w:wordWrap w:val="0"/>
        <w:ind w:firstLineChars="200" w:firstLine="420"/>
        <w:jc w:val="left"/>
      </w:pPr>
      <w:r>
        <w:rPr>
          <w:noProof/>
        </w:rPr>
        <w:lastRenderedPageBreak/>
        <w:drawing>
          <wp:inline distT="0" distB="0" distL="0" distR="0" wp14:anchorId="0CA765CA" wp14:editId="39AA9954">
            <wp:extent cx="4572000" cy="2743200"/>
            <wp:effectExtent l="0" t="0" r="19050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E5AAF" w:rsidRDefault="004059B1">
      <w:pPr>
        <w:widowControl/>
        <w:wordWrap w:val="0"/>
        <w:spacing w:line="460" w:lineRule="exact"/>
        <w:ind w:firstLineChars="200" w:firstLine="422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四、产品整体运作情况</w:t>
      </w:r>
    </w:p>
    <w:p w:rsidR="00AE5AAF" w:rsidRDefault="004059B1">
      <w:pPr>
        <w:widowControl/>
        <w:wordWrap w:val="0"/>
        <w:spacing w:line="46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（一）自本产品成立起至本报告日，产品管理人恪尽职守、勤勉尽责、谨慎管理，忠实履行有关法律、行政法规和相关文件的规定。</w:t>
      </w:r>
    </w:p>
    <w:p w:rsidR="00AE5AAF" w:rsidRDefault="004059B1" w:rsidP="00FE204B">
      <w:pPr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（二）截至本报告日，</w:t>
      </w:r>
      <w:r w:rsidR="00FE204B">
        <w:rPr>
          <w:rFonts w:ascii="宋体" w:hAnsi="宋体" w:cs="宋体" w:hint="eastAsia"/>
          <w:color w:val="000000"/>
          <w:kern w:val="0"/>
          <w:szCs w:val="21"/>
        </w:rPr>
        <w:t>资产</w:t>
      </w:r>
      <w:r w:rsidR="00D67089" w:rsidRPr="00D67089">
        <w:rPr>
          <w:rFonts w:ascii="宋体" w:hAnsi="宋体" w:cs="宋体" w:hint="eastAsia"/>
          <w:color w:val="000000"/>
          <w:kern w:val="0"/>
          <w:szCs w:val="21"/>
        </w:rPr>
        <w:t>16天津航空EB007</w:t>
      </w:r>
      <w:r w:rsidR="00FE204B">
        <w:rPr>
          <w:rFonts w:ascii="宋体" w:hAnsi="宋体" w:cs="宋体" w:hint="eastAsia"/>
          <w:color w:val="000000"/>
          <w:kern w:val="0"/>
          <w:szCs w:val="21"/>
        </w:rPr>
        <w:t>在我行的风险分类调整为关注，但不影响产品兑付，</w:t>
      </w:r>
      <w:bookmarkStart w:id="2" w:name="_GoBack"/>
      <w:bookmarkEnd w:id="2"/>
      <w:r w:rsidR="00D67089">
        <w:rPr>
          <w:rFonts w:ascii="宋体" w:hAnsi="宋体" w:cs="宋体" w:hint="eastAsia"/>
          <w:color w:val="000000"/>
          <w:kern w:val="0"/>
          <w:szCs w:val="21"/>
        </w:rPr>
        <w:t>剩余</w:t>
      </w:r>
      <w:r>
        <w:rPr>
          <w:rFonts w:ascii="宋体" w:hAnsi="宋体" w:cs="宋体" w:hint="eastAsia"/>
          <w:color w:val="000000"/>
          <w:kern w:val="0"/>
          <w:szCs w:val="21"/>
        </w:rPr>
        <w:t>投资资产正常运营，未发现有异常情况或者不利情况。</w:t>
      </w:r>
    </w:p>
    <w:p w:rsidR="00AE5AAF" w:rsidRDefault="004059B1">
      <w:pPr>
        <w:widowControl/>
        <w:wordWrap w:val="0"/>
        <w:spacing w:line="46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（三）本产品自成立至本报告日，没有发生涉诉及诉讼等损害投资者利益的情形。</w:t>
      </w:r>
    </w:p>
    <w:p w:rsidR="00AE5AAF" w:rsidRDefault="00AE5AAF">
      <w:pPr>
        <w:widowControl/>
        <w:wordWrap w:val="0"/>
        <w:spacing w:line="46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AE5AAF" w:rsidRDefault="004059B1">
      <w:pPr>
        <w:spacing w:line="560" w:lineRule="exact"/>
        <w:ind w:firstLineChars="200" w:firstLine="420"/>
        <w:jc w:val="right"/>
      </w:pPr>
      <w:r>
        <w:rPr>
          <w:rFonts w:hint="eastAsia"/>
        </w:rPr>
        <w:t>中国建设银行天津市分行</w:t>
      </w:r>
    </w:p>
    <w:p w:rsidR="00AE5AAF" w:rsidRDefault="004059B1">
      <w:pPr>
        <w:spacing w:line="560" w:lineRule="exact"/>
        <w:ind w:firstLineChars="200" w:firstLine="420"/>
        <w:jc w:val="right"/>
      </w:pPr>
      <w:r>
        <w:rPr>
          <w:rFonts w:hint="eastAsia"/>
        </w:rPr>
        <w:t>2019</w:t>
      </w:r>
      <w:r>
        <w:rPr>
          <w:rFonts w:hint="eastAsia"/>
        </w:rPr>
        <w:t>年</w:t>
      </w:r>
      <w:r w:rsidR="00976BD0">
        <w:rPr>
          <w:rFonts w:hint="eastAsia"/>
        </w:rPr>
        <w:t>1</w:t>
      </w:r>
      <w:r w:rsidR="00A000F6">
        <w:rPr>
          <w:rFonts w:hint="eastAsia"/>
        </w:rPr>
        <w:t>1</w:t>
      </w:r>
      <w:r>
        <w:rPr>
          <w:rFonts w:hint="eastAsia"/>
        </w:rPr>
        <w:t>月</w:t>
      </w:r>
      <w:r w:rsidR="00A000F6">
        <w:rPr>
          <w:rFonts w:hint="eastAsia"/>
        </w:rPr>
        <w:t>1</w:t>
      </w:r>
      <w:r>
        <w:rPr>
          <w:rFonts w:hint="eastAsia"/>
        </w:rPr>
        <w:t>日</w:t>
      </w:r>
    </w:p>
    <w:p w:rsidR="00AE5AAF" w:rsidRDefault="00AE5AAF">
      <w:pPr>
        <w:spacing w:line="560" w:lineRule="exact"/>
        <w:ind w:firstLineChars="200" w:firstLine="420"/>
        <w:jc w:val="right"/>
      </w:pPr>
    </w:p>
    <w:sectPr w:rsidR="00AE5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399" w:rsidRDefault="00307399" w:rsidP="00C7283B">
      <w:r>
        <w:separator/>
      </w:r>
    </w:p>
  </w:endnote>
  <w:endnote w:type="continuationSeparator" w:id="0">
    <w:p w:rsidR="00307399" w:rsidRDefault="00307399" w:rsidP="00C7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399" w:rsidRDefault="00307399" w:rsidP="00C7283B">
      <w:r>
        <w:separator/>
      </w:r>
    </w:p>
  </w:footnote>
  <w:footnote w:type="continuationSeparator" w:id="0">
    <w:p w:rsidR="00307399" w:rsidRDefault="00307399" w:rsidP="00C7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DA60B"/>
    <w:multiLevelType w:val="singleLevel"/>
    <w:tmpl w:val="5C2DA60B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B5"/>
    <w:rsid w:val="00015659"/>
    <w:rsid w:val="00017294"/>
    <w:rsid w:val="000204E1"/>
    <w:rsid w:val="0002296B"/>
    <w:rsid w:val="00022FE8"/>
    <w:rsid w:val="0002417B"/>
    <w:rsid w:val="0003090B"/>
    <w:rsid w:val="000316E4"/>
    <w:rsid w:val="00031D09"/>
    <w:rsid w:val="00035BE6"/>
    <w:rsid w:val="0003625B"/>
    <w:rsid w:val="00053C8D"/>
    <w:rsid w:val="0006129B"/>
    <w:rsid w:val="000615CD"/>
    <w:rsid w:val="00072B1D"/>
    <w:rsid w:val="00073968"/>
    <w:rsid w:val="000825DE"/>
    <w:rsid w:val="000843FC"/>
    <w:rsid w:val="000849DF"/>
    <w:rsid w:val="000957B3"/>
    <w:rsid w:val="000A2044"/>
    <w:rsid w:val="000A403F"/>
    <w:rsid w:val="000D1D1C"/>
    <w:rsid w:val="000F20FA"/>
    <w:rsid w:val="001100D5"/>
    <w:rsid w:val="0011207A"/>
    <w:rsid w:val="00112A09"/>
    <w:rsid w:val="0014429E"/>
    <w:rsid w:val="00151ECD"/>
    <w:rsid w:val="00166FF1"/>
    <w:rsid w:val="00180C41"/>
    <w:rsid w:val="00181764"/>
    <w:rsid w:val="00193A69"/>
    <w:rsid w:val="00196897"/>
    <w:rsid w:val="00196CB7"/>
    <w:rsid w:val="001A1B5C"/>
    <w:rsid w:val="001A4DCB"/>
    <w:rsid w:val="001B1D2C"/>
    <w:rsid w:val="001B2AF3"/>
    <w:rsid w:val="001B65DF"/>
    <w:rsid w:val="001C2160"/>
    <w:rsid w:val="001C3ADE"/>
    <w:rsid w:val="001D01FF"/>
    <w:rsid w:val="001D62AC"/>
    <w:rsid w:val="001E72F4"/>
    <w:rsid w:val="001F2D0B"/>
    <w:rsid w:val="001F36A1"/>
    <w:rsid w:val="001F7A9E"/>
    <w:rsid w:val="00201C49"/>
    <w:rsid w:val="00201ED8"/>
    <w:rsid w:val="00207266"/>
    <w:rsid w:val="00212A65"/>
    <w:rsid w:val="00217A44"/>
    <w:rsid w:val="0023748F"/>
    <w:rsid w:val="002419D1"/>
    <w:rsid w:val="00251243"/>
    <w:rsid w:val="0025248C"/>
    <w:rsid w:val="0026593E"/>
    <w:rsid w:val="00277965"/>
    <w:rsid w:val="00281A03"/>
    <w:rsid w:val="00294BE5"/>
    <w:rsid w:val="002B7768"/>
    <w:rsid w:val="002C6B6E"/>
    <w:rsid w:val="002D1DC7"/>
    <w:rsid w:val="002E0020"/>
    <w:rsid w:val="002E2749"/>
    <w:rsid w:val="002E277F"/>
    <w:rsid w:val="002F7C8F"/>
    <w:rsid w:val="00300E66"/>
    <w:rsid w:val="003020BE"/>
    <w:rsid w:val="00304340"/>
    <w:rsid w:val="003065C3"/>
    <w:rsid w:val="00307399"/>
    <w:rsid w:val="003118E8"/>
    <w:rsid w:val="003157E2"/>
    <w:rsid w:val="00317E3B"/>
    <w:rsid w:val="0033234B"/>
    <w:rsid w:val="003343FF"/>
    <w:rsid w:val="00343209"/>
    <w:rsid w:val="00356A15"/>
    <w:rsid w:val="00360088"/>
    <w:rsid w:val="003606DE"/>
    <w:rsid w:val="00366684"/>
    <w:rsid w:val="0037195A"/>
    <w:rsid w:val="00372F18"/>
    <w:rsid w:val="003800D9"/>
    <w:rsid w:val="0038092D"/>
    <w:rsid w:val="003821AC"/>
    <w:rsid w:val="003916B6"/>
    <w:rsid w:val="00392520"/>
    <w:rsid w:val="003B129A"/>
    <w:rsid w:val="003C23F3"/>
    <w:rsid w:val="003C2426"/>
    <w:rsid w:val="003D3F6A"/>
    <w:rsid w:val="003D7662"/>
    <w:rsid w:val="003F1509"/>
    <w:rsid w:val="003F25B0"/>
    <w:rsid w:val="00401D0E"/>
    <w:rsid w:val="004037B0"/>
    <w:rsid w:val="004059B1"/>
    <w:rsid w:val="00406958"/>
    <w:rsid w:val="00420936"/>
    <w:rsid w:val="00432E28"/>
    <w:rsid w:val="00440945"/>
    <w:rsid w:val="00442A2E"/>
    <w:rsid w:val="0044518E"/>
    <w:rsid w:val="00451D51"/>
    <w:rsid w:val="00457ED1"/>
    <w:rsid w:val="0046282E"/>
    <w:rsid w:val="00464E5D"/>
    <w:rsid w:val="00466A50"/>
    <w:rsid w:val="0046716C"/>
    <w:rsid w:val="004706E8"/>
    <w:rsid w:val="00480D36"/>
    <w:rsid w:val="004A7410"/>
    <w:rsid w:val="004A7C64"/>
    <w:rsid w:val="004B1C5D"/>
    <w:rsid w:val="004B2103"/>
    <w:rsid w:val="004B3B0F"/>
    <w:rsid w:val="004C554C"/>
    <w:rsid w:val="004C7C5D"/>
    <w:rsid w:val="004D0F3A"/>
    <w:rsid w:val="004D3823"/>
    <w:rsid w:val="004E1D91"/>
    <w:rsid w:val="004E3BBE"/>
    <w:rsid w:val="004E43E7"/>
    <w:rsid w:val="004F4A17"/>
    <w:rsid w:val="00500360"/>
    <w:rsid w:val="00500503"/>
    <w:rsid w:val="00514527"/>
    <w:rsid w:val="00525607"/>
    <w:rsid w:val="00527941"/>
    <w:rsid w:val="00536240"/>
    <w:rsid w:val="005553F2"/>
    <w:rsid w:val="00556263"/>
    <w:rsid w:val="00556500"/>
    <w:rsid w:val="00556BB0"/>
    <w:rsid w:val="00570166"/>
    <w:rsid w:val="00572464"/>
    <w:rsid w:val="00576DE7"/>
    <w:rsid w:val="005945D2"/>
    <w:rsid w:val="005A0E35"/>
    <w:rsid w:val="005B2F89"/>
    <w:rsid w:val="005C150E"/>
    <w:rsid w:val="005C4CC5"/>
    <w:rsid w:val="005D1F9C"/>
    <w:rsid w:val="005D3017"/>
    <w:rsid w:val="005D42B5"/>
    <w:rsid w:val="005D76DA"/>
    <w:rsid w:val="005E21B3"/>
    <w:rsid w:val="005E4DD7"/>
    <w:rsid w:val="005E5C1F"/>
    <w:rsid w:val="005E6D58"/>
    <w:rsid w:val="005F3F0E"/>
    <w:rsid w:val="006025D9"/>
    <w:rsid w:val="00603A76"/>
    <w:rsid w:val="00612ED8"/>
    <w:rsid w:val="00617958"/>
    <w:rsid w:val="00621D47"/>
    <w:rsid w:val="00622D38"/>
    <w:rsid w:val="00623885"/>
    <w:rsid w:val="00631732"/>
    <w:rsid w:val="00634979"/>
    <w:rsid w:val="006349F7"/>
    <w:rsid w:val="00634AE8"/>
    <w:rsid w:val="00646993"/>
    <w:rsid w:val="00664529"/>
    <w:rsid w:val="00665BBD"/>
    <w:rsid w:val="0066719E"/>
    <w:rsid w:val="00670C35"/>
    <w:rsid w:val="0068175B"/>
    <w:rsid w:val="006A1B82"/>
    <w:rsid w:val="006A21DC"/>
    <w:rsid w:val="006B09A5"/>
    <w:rsid w:val="006B2AF8"/>
    <w:rsid w:val="006C0BFD"/>
    <w:rsid w:val="006D2A80"/>
    <w:rsid w:val="006E1817"/>
    <w:rsid w:val="006F02D0"/>
    <w:rsid w:val="006F2B0E"/>
    <w:rsid w:val="00703E05"/>
    <w:rsid w:val="007101E4"/>
    <w:rsid w:val="0072150D"/>
    <w:rsid w:val="0072778A"/>
    <w:rsid w:val="00735724"/>
    <w:rsid w:val="00740172"/>
    <w:rsid w:val="007530C4"/>
    <w:rsid w:val="00760F69"/>
    <w:rsid w:val="007679EC"/>
    <w:rsid w:val="0077465A"/>
    <w:rsid w:val="00775A49"/>
    <w:rsid w:val="00783219"/>
    <w:rsid w:val="0079400F"/>
    <w:rsid w:val="00795168"/>
    <w:rsid w:val="007A3BBD"/>
    <w:rsid w:val="007B5052"/>
    <w:rsid w:val="007D621C"/>
    <w:rsid w:val="007D7A46"/>
    <w:rsid w:val="007E0961"/>
    <w:rsid w:val="007E25A3"/>
    <w:rsid w:val="007E609C"/>
    <w:rsid w:val="007F02C1"/>
    <w:rsid w:val="007F68AD"/>
    <w:rsid w:val="00802DC8"/>
    <w:rsid w:val="0080376D"/>
    <w:rsid w:val="00807132"/>
    <w:rsid w:val="008114DE"/>
    <w:rsid w:val="00811A29"/>
    <w:rsid w:val="00813808"/>
    <w:rsid w:val="0081517C"/>
    <w:rsid w:val="00821525"/>
    <w:rsid w:val="00825F23"/>
    <w:rsid w:val="00830191"/>
    <w:rsid w:val="00832867"/>
    <w:rsid w:val="00835435"/>
    <w:rsid w:val="00840DA1"/>
    <w:rsid w:val="00842F9E"/>
    <w:rsid w:val="00844EFA"/>
    <w:rsid w:val="00855538"/>
    <w:rsid w:val="008616B6"/>
    <w:rsid w:val="00863393"/>
    <w:rsid w:val="00874B91"/>
    <w:rsid w:val="00887B2A"/>
    <w:rsid w:val="00887BF3"/>
    <w:rsid w:val="00892323"/>
    <w:rsid w:val="008A6819"/>
    <w:rsid w:val="008B270C"/>
    <w:rsid w:val="008B48C1"/>
    <w:rsid w:val="008C0D00"/>
    <w:rsid w:val="008D1353"/>
    <w:rsid w:val="008D1EEE"/>
    <w:rsid w:val="008D4C4B"/>
    <w:rsid w:val="008D4F53"/>
    <w:rsid w:val="008E33B9"/>
    <w:rsid w:val="008E782A"/>
    <w:rsid w:val="008F21DF"/>
    <w:rsid w:val="008F42B5"/>
    <w:rsid w:val="0090202D"/>
    <w:rsid w:val="0090573E"/>
    <w:rsid w:val="009072BD"/>
    <w:rsid w:val="00910F8F"/>
    <w:rsid w:val="00917B85"/>
    <w:rsid w:val="00970241"/>
    <w:rsid w:val="009715CF"/>
    <w:rsid w:val="009735E0"/>
    <w:rsid w:val="00976BD0"/>
    <w:rsid w:val="00982E35"/>
    <w:rsid w:val="00990502"/>
    <w:rsid w:val="009942E0"/>
    <w:rsid w:val="0099488B"/>
    <w:rsid w:val="00995C1C"/>
    <w:rsid w:val="009A5143"/>
    <w:rsid w:val="009B0F7A"/>
    <w:rsid w:val="009B156A"/>
    <w:rsid w:val="009B35DC"/>
    <w:rsid w:val="009B5465"/>
    <w:rsid w:val="009C3463"/>
    <w:rsid w:val="009C5B38"/>
    <w:rsid w:val="009E7BE3"/>
    <w:rsid w:val="009F1B1F"/>
    <w:rsid w:val="009F3EAB"/>
    <w:rsid w:val="00A000F6"/>
    <w:rsid w:val="00A064E9"/>
    <w:rsid w:val="00A1249C"/>
    <w:rsid w:val="00A204EB"/>
    <w:rsid w:val="00A20A01"/>
    <w:rsid w:val="00A22AF2"/>
    <w:rsid w:val="00A3050F"/>
    <w:rsid w:val="00A34043"/>
    <w:rsid w:val="00A3442C"/>
    <w:rsid w:val="00A37C9C"/>
    <w:rsid w:val="00A403F6"/>
    <w:rsid w:val="00A442AE"/>
    <w:rsid w:val="00A47A9F"/>
    <w:rsid w:val="00A70DAC"/>
    <w:rsid w:val="00A83CFE"/>
    <w:rsid w:val="00A86D26"/>
    <w:rsid w:val="00A934BD"/>
    <w:rsid w:val="00A942B9"/>
    <w:rsid w:val="00AA4708"/>
    <w:rsid w:val="00AB0879"/>
    <w:rsid w:val="00AB7410"/>
    <w:rsid w:val="00AE4563"/>
    <w:rsid w:val="00AE5AAF"/>
    <w:rsid w:val="00AF241D"/>
    <w:rsid w:val="00AF7D5E"/>
    <w:rsid w:val="00B030A4"/>
    <w:rsid w:val="00B11D51"/>
    <w:rsid w:val="00B120C7"/>
    <w:rsid w:val="00B15327"/>
    <w:rsid w:val="00B16178"/>
    <w:rsid w:val="00B23A48"/>
    <w:rsid w:val="00B23C3D"/>
    <w:rsid w:val="00B254FA"/>
    <w:rsid w:val="00B3049D"/>
    <w:rsid w:val="00B31137"/>
    <w:rsid w:val="00B31D22"/>
    <w:rsid w:val="00B37D5C"/>
    <w:rsid w:val="00B44653"/>
    <w:rsid w:val="00B53C25"/>
    <w:rsid w:val="00B6574D"/>
    <w:rsid w:val="00B65EFE"/>
    <w:rsid w:val="00B67E0A"/>
    <w:rsid w:val="00B8177B"/>
    <w:rsid w:val="00B915D7"/>
    <w:rsid w:val="00B94742"/>
    <w:rsid w:val="00B947BE"/>
    <w:rsid w:val="00B9672B"/>
    <w:rsid w:val="00B9748E"/>
    <w:rsid w:val="00BA3958"/>
    <w:rsid w:val="00BA5D4A"/>
    <w:rsid w:val="00BC0BD2"/>
    <w:rsid w:val="00BC107B"/>
    <w:rsid w:val="00BC2DFC"/>
    <w:rsid w:val="00BC59EE"/>
    <w:rsid w:val="00BC5EEB"/>
    <w:rsid w:val="00BD21EF"/>
    <w:rsid w:val="00BE4125"/>
    <w:rsid w:val="00BF361C"/>
    <w:rsid w:val="00C015E7"/>
    <w:rsid w:val="00C03BD6"/>
    <w:rsid w:val="00C06B35"/>
    <w:rsid w:val="00C07919"/>
    <w:rsid w:val="00C130CA"/>
    <w:rsid w:val="00C15485"/>
    <w:rsid w:val="00C23E85"/>
    <w:rsid w:val="00C37F02"/>
    <w:rsid w:val="00C43250"/>
    <w:rsid w:val="00C461A6"/>
    <w:rsid w:val="00C51611"/>
    <w:rsid w:val="00C52277"/>
    <w:rsid w:val="00C61DBB"/>
    <w:rsid w:val="00C6356D"/>
    <w:rsid w:val="00C664E1"/>
    <w:rsid w:val="00C7283B"/>
    <w:rsid w:val="00C758BD"/>
    <w:rsid w:val="00CA5CBD"/>
    <w:rsid w:val="00CA7650"/>
    <w:rsid w:val="00CB478C"/>
    <w:rsid w:val="00CB47A5"/>
    <w:rsid w:val="00CD1C7B"/>
    <w:rsid w:val="00CF34A7"/>
    <w:rsid w:val="00CF4A0F"/>
    <w:rsid w:val="00CF73E4"/>
    <w:rsid w:val="00D00419"/>
    <w:rsid w:val="00D02AEB"/>
    <w:rsid w:val="00D0567A"/>
    <w:rsid w:val="00D13954"/>
    <w:rsid w:val="00D20D81"/>
    <w:rsid w:val="00D255AE"/>
    <w:rsid w:val="00D31573"/>
    <w:rsid w:val="00D412B6"/>
    <w:rsid w:val="00D46C56"/>
    <w:rsid w:val="00D5756B"/>
    <w:rsid w:val="00D65E3E"/>
    <w:rsid w:val="00D67089"/>
    <w:rsid w:val="00D72A51"/>
    <w:rsid w:val="00D72B3A"/>
    <w:rsid w:val="00D83F06"/>
    <w:rsid w:val="00D91E9A"/>
    <w:rsid w:val="00D93293"/>
    <w:rsid w:val="00DA347C"/>
    <w:rsid w:val="00DA705A"/>
    <w:rsid w:val="00DB577B"/>
    <w:rsid w:val="00DC3091"/>
    <w:rsid w:val="00DE2FED"/>
    <w:rsid w:val="00DF2402"/>
    <w:rsid w:val="00E03143"/>
    <w:rsid w:val="00E06D33"/>
    <w:rsid w:val="00E1408A"/>
    <w:rsid w:val="00E14C06"/>
    <w:rsid w:val="00E14DFB"/>
    <w:rsid w:val="00E431F7"/>
    <w:rsid w:val="00E46041"/>
    <w:rsid w:val="00E57A67"/>
    <w:rsid w:val="00E70D61"/>
    <w:rsid w:val="00E737B7"/>
    <w:rsid w:val="00E73AE3"/>
    <w:rsid w:val="00E75A65"/>
    <w:rsid w:val="00E81D57"/>
    <w:rsid w:val="00E84485"/>
    <w:rsid w:val="00E95289"/>
    <w:rsid w:val="00E973CF"/>
    <w:rsid w:val="00EA0A83"/>
    <w:rsid w:val="00EB0CE3"/>
    <w:rsid w:val="00EB0E6B"/>
    <w:rsid w:val="00EB36EC"/>
    <w:rsid w:val="00EB589B"/>
    <w:rsid w:val="00EB62C7"/>
    <w:rsid w:val="00EC2F6B"/>
    <w:rsid w:val="00ED0576"/>
    <w:rsid w:val="00ED0580"/>
    <w:rsid w:val="00ED6337"/>
    <w:rsid w:val="00ED78B0"/>
    <w:rsid w:val="00ED7FC0"/>
    <w:rsid w:val="00EE3E2C"/>
    <w:rsid w:val="00EE719E"/>
    <w:rsid w:val="00EE7597"/>
    <w:rsid w:val="00EF0E38"/>
    <w:rsid w:val="00F01C55"/>
    <w:rsid w:val="00F06F24"/>
    <w:rsid w:val="00F26219"/>
    <w:rsid w:val="00F313E9"/>
    <w:rsid w:val="00F3473A"/>
    <w:rsid w:val="00F34C3A"/>
    <w:rsid w:val="00F43556"/>
    <w:rsid w:val="00F577BF"/>
    <w:rsid w:val="00F628E8"/>
    <w:rsid w:val="00F77881"/>
    <w:rsid w:val="00F94F97"/>
    <w:rsid w:val="00F95264"/>
    <w:rsid w:val="00FB6B6C"/>
    <w:rsid w:val="00FD61CC"/>
    <w:rsid w:val="00FE204B"/>
    <w:rsid w:val="00FF18C3"/>
    <w:rsid w:val="00FF2781"/>
    <w:rsid w:val="00FF4054"/>
    <w:rsid w:val="00FF5F70"/>
    <w:rsid w:val="00FF74E7"/>
    <w:rsid w:val="00FF7951"/>
    <w:rsid w:val="1DAA441D"/>
    <w:rsid w:val="201E7143"/>
    <w:rsid w:val="27AC4510"/>
    <w:rsid w:val="345F7DEA"/>
    <w:rsid w:val="3664363E"/>
    <w:rsid w:val="3D5B4951"/>
    <w:rsid w:val="507B7BC4"/>
    <w:rsid w:val="5F4C27D7"/>
    <w:rsid w:val="6577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FollowedHyperlink"/>
    <w:basedOn w:val="a0"/>
    <w:uiPriority w:val="99"/>
    <w:unhideWhenUsed/>
    <w:qFormat/>
    <w:rPr>
      <w:color w:val="0000CC"/>
      <w:u w:val="single"/>
    </w:rPr>
  </w:style>
  <w:style w:type="character" w:styleId="a7">
    <w:name w:val="Hyperlink"/>
    <w:basedOn w:val="a0"/>
    <w:uiPriority w:val="99"/>
    <w:unhideWhenUsed/>
    <w:qFormat/>
    <w:rPr>
      <w:color w:val="0000CC"/>
      <w:u w:val="single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FollowedHyperlink"/>
    <w:basedOn w:val="a0"/>
    <w:uiPriority w:val="99"/>
    <w:unhideWhenUsed/>
    <w:qFormat/>
    <w:rPr>
      <w:color w:val="0000CC"/>
      <w:u w:val="single"/>
    </w:rPr>
  </w:style>
  <w:style w:type="character" w:styleId="a7">
    <w:name w:val="Hyperlink"/>
    <w:basedOn w:val="a0"/>
    <w:uiPriority w:val="99"/>
    <w:unhideWhenUsed/>
    <w:qFormat/>
    <w:rPr>
      <w:color w:val="0000CC"/>
      <w:u w:val="single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CB\Desktop\9&#26376;&#20221;&#22823;&#34920;\&#22825;&#27941;&#20998;&#34892;&#36164;&#20135;&#32452;&#21512;&#22411;&#29702;&#36130;&#20135;&#21697;&#21488;&#36134;201910&#2637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CB\Desktop\9&#26376;&#20221;&#22823;&#34920;\&#22825;&#27941;&#20998;&#34892;&#36164;&#20135;&#32452;&#21512;&#22411;&#29702;&#36130;&#20135;&#21697;&#21488;&#36134;201910&#2637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CB\Desktop\9&#26376;&#20221;&#22823;&#34920;\&#22825;&#27941;&#20998;&#34892;&#36164;&#20135;&#32452;&#21512;&#22411;&#29702;&#36130;&#20135;&#21697;&#21488;&#36134;201910&#263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投资组合基本情况</a:t>
            </a:r>
          </a:p>
        </c:rich>
      </c:tx>
      <c:layout>
        <c:manualLayout>
          <c:xMode val="edge"/>
          <c:yMode val="edge"/>
          <c:x val="0.27977777777777779"/>
          <c:y val="7.40740740740740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'日报表(发领导）'!$L$3:$L$6</c:f>
              <c:strCache>
                <c:ptCount val="4"/>
                <c:pt idx="0">
                  <c:v>现金及存款</c:v>
                </c:pt>
                <c:pt idx="1">
                  <c:v>债券</c:v>
                </c:pt>
                <c:pt idx="2">
                  <c:v>投资类</c:v>
                </c:pt>
                <c:pt idx="3">
                  <c:v>融资类资产</c:v>
                </c:pt>
              </c:strCache>
            </c:strRef>
          </c:cat>
          <c:val>
            <c:numRef>
              <c:f>'日报表(发领导）'!$M$3:$M$6</c:f>
              <c:numCache>
                <c:formatCode>#,##0.00_ </c:formatCode>
                <c:ptCount val="4"/>
                <c:pt idx="0">
                  <c:v>416301.71066400001</c:v>
                </c:pt>
                <c:pt idx="1">
                  <c:v>736700.24598918494</c:v>
                </c:pt>
                <c:pt idx="2">
                  <c:v>130000</c:v>
                </c:pt>
                <c:pt idx="3">
                  <c:v>659184.99999927194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559864391950999"/>
          <c:y val="0.40293598716827062"/>
          <c:w val="0.18606802274715659"/>
          <c:h val="0.33486876640419949"/>
        </c:manualLayout>
      </c:layout>
      <c:overlay val="0"/>
      <c:txPr>
        <a:bodyPr/>
        <a:lstStyle/>
        <a:p>
          <a:pPr>
            <a:defRPr baseline="0">
              <a:ea typeface="彩虹粗仿宋" pitchFamily="65" charset="-122"/>
            </a:defRPr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资产行业占比构成</a:t>
            </a:r>
          </a:p>
        </c:rich>
      </c:tx>
      <c:layout>
        <c:manualLayout>
          <c:xMode val="edge"/>
          <c:yMode val="edge"/>
          <c:x val="0.2742222222222222"/>
          <c:y val="7.40740740740740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Sheet2!$D$4:$D$11</c:f>
              <c:strCache>
                <c:ptCount val="8"/>
                <c:pt idx="0">
                  <c:v>公共设施管理业</c:v>
                </c:pt>
                <c:pt idx="1">
                  <c:v>建筑业</c:v>
                </c:pt>
                <c:pt idx="2">
                  <c:v>交通运输业</c:v>
                </c:pt>
                <c:pt idx="3">
                  <c:v>市政公共设施管理</c:v>
                </c:pt>
                <c:pt idx="4">
                  <c:v>市政设施管理</c:v>
                </c:pt>
                <c:pt idx="5">
                  <c:v>铁路运输业</c:v>
                </c:pt>
                <c:pt idx="6">
                  <c:v>土木工程建筑业</c:v>
                </c:pt>
                <c:pt idx="7">
                  <c:v>租赁商务服务业</c:v>
                </c:pt>
              </c:strCache>
            </c:strRef>
          </c:cat>
          <c:val>
            <c:numRef>
              <c:f>Sheet2!$E$4:$E$11</c:f>
              <c:numCache>
                <c:formatCode>0.00_);[Red]\(0.00\)</c:formatCode>
                <c:ptCount val="8"/>
                <c:pt idx="0">
                  <c:v>713360819.20000005</c:v>
                </c:pt>
                <c:pt idx="1">
                  <c:v>737686026.02999997</c:v>
                </c:pt>
                <c:pt idx="2">
                  <c:v>459332116.38999999</c:v>
                </c:pt>
                <c:pt idx="3">
                  <c:v>544265431.52999997</c:v>
                </c:pt>
                <c:pt idx="4">
                  <c:v>300000000</c:v>
                </c:pt>
                <c:pt idx="5">
                  <c:v>1250000</c:v>
                </c:pt>
                <c:pt idx="6">
                  <c:v>400000000</c:v>
                </c:pt>
                <c:pt idx="7">
                  <c:v>219562060.66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726531058617676"/>
          <c:y val="0.22624234470691162"/>
          <c:w val="0.26940135608048993"/>
          <c:h val="0.66973753280839898"/>
        </c:manualLayout>
      </c:layout>
      <c:overlay val="0"/>
      <c:txPr>
        <a:bodyPr/>
        <a:lstStyle/>
        <a:p>
          <a:pPr>
            <a:defRPr baseline="0">
              <a:ea typeface="彩虹粗仿宋" pitchFamily="65" charset="-122"/>
            </a:defRPr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资产期限结构</a:t>
            </a:r>
          </a:p>
        </c:rich>
      </c:tx>
      <c:layout>
        <c:manualLayout>
          <c:xMode val="edge"/>
          <c:yMode val="edge"/>
          <c:x val="0.33274999999999999"/>
          <c:y val="6.018518518518518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Sheet3!$A$2:$A$6</c:f>
              <c:strCache>
                <c:ptCount val="5"/>
                <c:pt idx="0">
                  <c:v>现金及存款</c:v>
                </c:pt>
                <c:pt idx="1">
                  <c:v>半年（含）内到期</c:v>
                </c:pt>
                <c:pt idx="2">
                  <c:v>半年至一年（含）内到期</c:v>
                </c:pt>
                <c:pt idx="3">
                  <c:v>一年至五年（含）内到期</c:v>
                </c:pt>
                <c:pt idx="4">
                  <c:v>五年以上</c:v>
                </c:pt>
              </c:strCache>
            </c:strRef>
          </c:cat>
          <c:val>
            <c:numRef>
              <c:f>Sheet3!$B$2:$B$6</c:f>
              <c:numCache>
                <c:formatCode>0.00_);[Red]\(0.00\)</c:formatCode>
                <c:ptCount val="5"/>
                <c:pt idx="0" formatCode="#,##0.00_ ">
                  <c:v>416301.71066400001</c:v>
                </c:pt>
                <c:pt idx="1">
                  <c:v>1965468250.3199999</c:v>
                </c:pt>
                <c:pt idx="2">
                  <c:v>3375456453.8099995</c:v>
                </c:pt>
                <c:pt idx="3">
                  <c:v>2802002969.1800003</c:v>
                </c:pt>
                <c:pt idx="4">
                  <c:v>1250000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0282086614173225"/>
          <c:y val="0.22585848643919509"/>
          <c:w val="0.38051246719160103"/>
          <c:h val="0.69828302712160983"/>
        </c:manualLayout>
      </c:layout>
      <c:overlay val="0"/>
      <c:txPr>
        <a:bodyPr/>
        <a:lstStyle/>
        <a:p>
          <a:pPr>
            <a:defRPr baseline="0">
              <a:ea typeface="彩虹粗仿宋" pitchFamily="65" charset="-122"/>
            </a:defRPr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邱伟燕</dc:creator>
  <cp:lastModifiedBy>CCB</cp:lastModifiedBy>
  <cp:revision>158</cp:revision>
  <dcterms:created xsi:type="dcterms:W3CDTF">2015-01-27T02:04:00Z</dcterms:created>
  <dcterms:modified xsi:type="dcterms:W3CDTF">2019-11-01T09:26:00Z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