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AAF" w:rsidRDefault="004059B1">
      <w:pPr>
        <w:spacing w:line="460" w:lineRule="exact"/>
        <w:jc w:val="center"/>
        <w:rPr>
          <w:rFonts w:ascii="宋体" w:hAnsi="宋体"/>
          <w:b/>
          <w:bCs/>
          <w:color w:val="006EB3"/>
        </w:rPr>
      </w:pPr>
      <w:r>
        <w:rPr>
          <w:rFonts w:ascii="宋体" w:hAnsi="宋体" w:hint="eastAsia"/>
          <w:b/>
          <w:bCs/>
          <w:color w:val="006EB3"/>
        </w:rPr>
        <w:t>中国建设银行天津市分行“乾元—天天盈”（按日）开放式资产组合型</w:t>
      </w:r>
    </w:p>
    <w:p w:rsidR="00AE5AAF" w:rsidRDefault="004059B1">
      <w:pPr>
        <w:spacing w:line="460" w:lineRule="exact"/>
        <w:jc w:val="center"/>
        <w:rPr>
          <w:rFonts w:ascii="宋体" w:hAnsi="宋体"/>
          <w:b/>
          <w:bCs/>
          <w:color w:val="006EB3"/>
        </w:rPr>
      </w:pPr>
      <w:r>
        <w:rPr>
          <w:rFonts w:ascii="宋体" w:hAnsi="宋体" w:hint="eastAsia"/>
          <w:b/>
          <w:bCs/>
          <w:color w:val="006EB3"/>
        </w:rPr>
        <w:t>人民币理财产品</w:t>
      </w:r>
      <w:r>
        <w:rPr>
          <w:rFonts w:ascii="宋体" w:hAnsi="宋体"/>
          <w:b/>
          <w:bCs/>
          <w:color w:val="006EB3"/>
        </w:rPr>
        <w:t>月度投资管理报告</w:t>
      </w:r>
    </w:p>
    <w:p w:rsidR="00AE5AAF" w:rsidRDefault="004059B1">
      <w:pPr>
        <w:spacing w:line="460" w:lineRule="exact"/>
        <w:jc w:val="center"/>
      </w:pPr>
      <w:r>
        <w:rPr>
          <w:rFonts w:hint="eastAsia"/>
        </w:rPr>
        <w:t>报告日：</w:t>
      </w:r>
      <w:r>
        <w:rPr>
          <w:rFonts w:hint="eastAsia"/>
        </w:rPr>
        <w:t>2019</w:t>
      </w:r>
      <w:r>
        <w:rPr>
          <w:rFonts w:hint="eastAsia"/>
        </w:rPr>
        <w:t>年</w:t>
      </w:r>
      <w:r w:rsidR="004760F1">
        <w:rPr>
          <w:rFonts w:hint="eastAsia"/>
        </w:rPr>
        <w:t>12</w:t>
      </w:r>
      <w:r>
        <w:rPr>
          <w:rFonts w:hint="eastAsia"/>
        </w:rPr>
        <w:t>月</w:t>
      </w:r>
      <w:r w:rsidR="004760F1">
        <w:rPr>
          <w:rFonts w:hint="eastAsia"/>
        </w:rPr>
        <w:t>3</w:t>
      </w:r>
      <w:r>
        <w:rPr>
          <w:rFonts w:hint="eastAsia"/>
        </w:rPr>
        <w:t>日</w:t>
      </w:r>
    </w:p>
    <w:p w:rsidR="00AE5AAF" w:rsidRDefault="00AE5AAF">
      <w:pPr>
        <w:spacing w:line="460" w:lineRule="exact"/>
        <w:ind w:firstLineChars="200" w:firstLine="420"/>
        <w:rPr>
          <w:rFonts w:ascii="宋体" w:hAnsi="宋体"/>
          <w:bCs/>
          <w:color w:val="000000"/>
          <w:szCs w:val="21"/>
        </w:rPr>
      </w:pPr>
    </w:p>
    <w:p w:rsidR="00AE5AAF" w:rsidRPr="001D01FF" w:rsidRDefault="004059B1" w:rsidP="00B03012">
      <w:pPr>
        <w:ind w:firstLineChars="200" w:firstLine="420"/>
        <w:rPr>
          <w:rFonts w:ascii="Arial" w:hAnsi="Arial" w:cs="Arial"/>
          <w:color w:val="454545"/>
          <w:kern w:val="0"/>
          <w:sz w:val="16"/>
          <w:szCs w:val="16"/>
        </w:rPr>
      </w:pPr>
      <w:r>
        <w:rPr>
          <w:rFonts w:ascii="宋体" w:hAnsi="宋体" w:hint="eastAsia"/>
          <w:color w:val="000000"/>
          <w:szCs w:val="21"/>
        </w:rPr>
        <w:t>中国建设银行天津市分行“乾元—天天盈”（按日）开放式资产组合型人民币理财产品于2014年10月9日正式成立。截至报告日，本产品规模为</w:t>
      </w:r>
      <w:r w:rsidR="004760F1" w:rsidRPr="004760F1">
        <w:rPr>
          <w:rFonts w:ascii="宋体" w:hAnsi="宋体"/>
          <w:color w:val="000000"/>
          <w:szCs w:val="21"/>
        </w:rPr>
        <w:t>10,881,694,514.55</w:t>
      </w:r>
      <w:r w:rsidRPr="001D01FF">
        <w:rPr>
          <w:rFonts w:hint="eastAsia"/>
        </w:rPr>
        <w:t>元</w:t>
      </w:r>
      <w:r>
        <w:rPr>
          <w:rFonts w:ascii="宋体" w:hAnsi="宋体" w:hint="eastAsia"/>
          <w:color w:val="000000"/>
          <w:szCs w:val="21"/>
        </w:rPr>
        <w:t>。</w:t>
      </w:r>
    </w:p>
    <w:p w:rsidR="001D01FF" w:rsidRPr="001C3ADE" w:rsidRDefault="001D01FF" w:rsidP="001D01FF">
      <w:pPr>
        <w:ind w:firstLineChars="200" w:firstLine="320"/>
        <w:rPr>
          <w:rFonts w:ascii="Arial" w:hAnsi="Arial" w:cs="Arial"/>
          <w:color w:val="454545"/>
          <w:kern w:val="0"/>
          <w:sz w:val="16"/>
          <w:szCs w:val="16"/>
        </w:rPr>
      </w:pPr>
    </w:p>
    <w:p w:rsidR="00AE5AAF" w:rsidRDefault="004059B1" w:rsidP="001D01FF">
      <w:pPr>
        <w:wordWrap w:val="0"/>
        <w:spacing w:line="460" w:lineRule="exact"/>
        <w:ind w:firstLineChars="200" w:firstLine="422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一、产品基本情况</w:t>
      </w:r>
    </w:p>
    <w:p w:rsidR="00AE5AAF" w:rsidRDefault="004059B1" w:rsidP="00B03012">
      <w:pPr>
        <w:wordWrap w:val="0"/>
        <w:spacing w:line="46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产品管理人：</w:t>
      </w:r>
      <w:r>
        <w:rPr>
          <w:rFonts w:ascii="宋体" w:hAnsi="宋体" w:hint="eastAsia"/>
          <w:bCs/>
          <w:color w:val="000000"/>
          <w:szCs w:val="21"/>
        </w:rPr>
        <w:t>中国建设银行天津市分行</w:t>
      </w:r>
    </w:p>
    <w:p w:rsidR="00AE5AAF" w:rsidRDefault="004059B1">
      <w:pPr>
        <w:wordWrap w:val="0"/>
        <w:spacing w:line="46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产品托管人：中国建设银行天津市分行</w:t>
      </w:r>
    </w:p>
    <w:p w:rsidR="00AE5AAF" w:rsidRDefault="004059B1">
      <w:pPr>
        <w:wordWrap w:val="0"/>
        <w:spacing w:line="46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产品成立日：2014年10月9日</w:t>
      </w:r>
    </w:p>
    <w:p w:rsidR="00AE5AAF" w:rsidRDefault="004059B1">
      <w:pPr>
        <w:wordWrap w:val="0"/>
        <w:spacing w:line="460" w:lineRule="exact"/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产品到期日：无固定期限，中国建设银行有权提前终止产品</w:t>
      </w:r>
    </w:p>
    <w:p w:rsidR="00AE5AAF" w:rsidRDefault="004059B1" w:rsidP="00B03012">
      <w:pPr>
        <w:wordWrap w:val="0"/>
        <w:spacing w:line="460" w:lineRule="exact"/>
        <w:ind w:firstLineChars="200" w:firstLine="422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二、报告期投资者实际收益率</w:t>
      </w:r>
    </w:p>
    <w:p w:rsidR="00381B4D" w:rsidRDefault="003C23F3" w:rsidP="00B03012">
      <w:pPr>
        <w:wordWrap w:val="0"/>
        <w:spacing w:line="46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截至报告日，产品运作期为</w:t>
      </w:r>
      <w:r w:rsidR="004760F1" w:rsidRPr="004760F1">
        <w:rPr>
          <w:rFonts w:ascii="宋体" w:hAnsi="宋体" w:hint="eastAsia"/>
          <w:color w:val="000000"/>
          <w:szCs w:val="21"/>
        </w:rPr>
        <w:t>1881</w:t>
      </w:r>
      <w:r>
        <w:rPr>
          <w:rFonts w:ascii="宋体" w:hAnsi="宋体" w:hint="eastAsia"/>
          <w:color w:val="000000"/>
          <w:szCs w:val="21"/>
        </w:rPr>
        <w:t>个自然日。</w:t>
      </w:r>
      <w:r w:rsidR="00381B4D">
        <w:rPr>
          <w:rFonts w:ascii="宋体" w:hAnsi="宋体" w:hint="eastAsia"/>
          <w:color w:val="000000"/>
          <w:szCs w:val="21"/>
        </w:rPr>
        <w:t>根据2019年11月第3版产品说明书的约定，2019年11月19日（含）起投资者实际收益率如下表所示：</w:t>
      </w:r>
    </w:p>
    <w:tbl>
      <w:tblPr>
        <w:tblW w:w="7860" w:type="dxa"/>
        <w:tblLayout w:type="fixed"/>
        <w:tblLook w:val="04A0" w:firstRow="1" w:lastRow="0" w:firstColumn="1" w:lastColumn="0" w:noHBand="0" w:noVBand="1"/>
      </w:tblPr>
      <w:tblGrid>
        <w:gridCol w:w="1380"/>
        <w:gridCol w:w="1080"/>
        <w:gridCol w:w="1080"/>
        <w:gridCol w:w="1080"/>
        <w:gridCol w:w="1080"/>
        <w:gridCol w:w="1080"/>
        <w:gridCol w:w="1080"/>
      </w:tblGrid>
      <w:tr w:rsidR="00381B4D" w:rsidTr="004D7CA0">
        <w:trPr>
          <w:trHeight w:val="525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B4D" w:rsidRDefault="00381B4D" w:rsidP="004D7C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投资期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B4D" w:rsidRDefault="00381B4D" w:rsidP="004D7C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1≤T&lt;30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B4D" w:rsidRDefault="00381B4D" w:rsidP="004D7C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30≤T&lt;60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B4D" w:rsidRDefault="00381B4D" w:rsidP="004D7C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60≤T&lt;120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B4D" w:rsidRDefault="00381B4D" w:rsidP="004D7C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120≤T&lt;270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B4D" w:rsidRDefault="00381B4D" w:rsidP="004D7C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270≤T&lt;365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B4D" w:rsidRDefault="00381B4D" w:rsidP="004D7C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≥365</w:t>
            </w:r>
          </w:p>
        </w:tc>
      </w:tr>
      <w:tr w:rsidR="00381B4D" w:rsidTr="004D7CA0">
        <w:trPr>
          <w:trHeight w:val="525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B4D" w:rsidRDefault="00381B4D" w:rsidP="004D7C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投资者实际收益率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B4D" w:rsidRDefault="00381B4D" w:rsidP="004D7C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2.4%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B4D" w:rsidRDefault="00381B4D" w:rsidP="004D7C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2.70%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B4D" w:rsidRDefault="00381B4D" w:rsidP="004D7C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3.00%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B4D" w:rsidRDefault="00381B4D" w:rsidP="004D7C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3.10%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B4D" w:rsidRDefault="00381B4D" w:rsidP="004D7C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3.40%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B4D" w:rsidRDefault="00381B4D" w:rsidP="004D7C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3.60%</w:t>
            </w:r>
          </w:p>
        </w:tc>
      </w:tr>
    </w:tbl>
    <w:p w:rsidR="003C23F3" w:rsidRDefault="003C23F3" w:rsidP="00B03012">
      <w:pPr>
        <w:wordWrap w:val="0"/>
        <w:spacing w:line="46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根据201</w:t>
      </w:r>
      <w:r w:rsidR="00811A29">
        <w:rPr>
          <w:rFonts w:ascii="宋体" w:hAnsi="宋体" w:hint="eastAsia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年</w:t>
      </w:r>
      <w:r w:rsidR="00811A29">
        <w:rPr>
          <w:rFonts w:ascii="宋体" w:hAnsi="宋体" w:hint="eastAsia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月第</w:t>
      </w:r>
      <w:r w:rsidR="009B35DC">
        <w:rPr>
          <w:rFonts w:ascii="宋体" w:hAnsi="宋体" w:hint="eastAsia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版产品说明书的约定，201</w:t>
      </w:r>
      <w:r w:rsidR="00811A29">
        <w:rPr>
          <w:rFonts w:ascii="宋体" w:hAnsi="宋体" w:hint="eastAsia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年</w:t>
      </w:r>
      <w:r w:rsidR="00811A29">
        <w:rPr>
          <w:rFonts w:ascii="宋体" w:hAnsi="宋体" w:hint="eastAsia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月</w:t>
      </w:r>
      <w:r w:rsidR="00811A29">
        <w:rPr>
          <w:rFonts w:ascii="宋体" w:hAnsi="宋体" w:hint="eastAsia"/>
          <w:color w:val="000000"/>
          <w:szCs w:val="21"/>
        </w:rPr>
        <w:t>5日（含）起</w:t>
      </w:r>
      <w:r w:rsidR="004760F1">
        <w:rPr>
          <w:rFonts w:ascii="宋体" w:hAnsi="宋体" w:hint="eastAsia"/>
          <w:color w:val="000000"/>
          <w:szCs w:val="21"/>
        </w:rPr>
        <w:t>至2019年11月18日（含）</w:t>
      </w:r>
      <w:r>
        <w:rPr>
          <w:rFonts w:ascii="宋体" w:hAnsi="宋体" w:hint="eastAsia"/>
          <w:color w:val="000000"/>
          <w:szCs w:val="21"/>
        </w:rPr>
        <w:t>投资者实际收益率如下表所示：</w:t>
      </w:r>
    </w:p>
    <w:tbl>
      <w:tblPr>
        <w:tblW w:w="7860" w:type="dxa"/>
        <w:tblLayout w:type="fixed"/>
        <w:tblLook w:val="04A0" w:firstRow="1" w:lastRow="0" w:firstColumn="1" w:lastColumn="0" w:noHBand="0" w:noVBand="1"/>
      </w:tblPr>
      <w:tblGrid>
        <w:gridCol w:w="1380"/>
        <w:gridCol w:w="1080"/>
        <w:gridCol w:w="1080"/>
        <w:gridCol w:w="1080"/>
        <w:gridCol w:w="1080"/>
        <w:gridCol w:w="1080"/>
        <w:gridCol w:w="1080"/>
      </w:tblGrid>
      <w:tr w:rsidR="003C23F3" w:rsidTr="003C23F3">
        <w:trPr>
          <w:trHeight w:val="525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607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投资期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607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1≤T&lt;30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607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30≤T&lt;60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607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60≤T&lt;120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607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120≤T&lt;270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607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270≤T&lt;365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607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≥365</w:t>
            </w:r>
          </w:p>
        </w:tc>
      </w:tr>
      <w:tr w:rsidR="003C23F3" w:rsidTr="003C23F3">
        <w:trPr>
          <w:trHeight w:val="525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607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投资者实际收益率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811A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</w:t>
            </w:r>
            <w:r w:rsidR="00811A29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811A29" w:rsidP="00607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2.80</w:t>
            </w:r>
            <w:r w:rsidR="003C23F3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811A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</w:t>
            </w:r>
            <w:r w:rsidR="00811A29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811A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</w:t>
            </w:r>
            <w:r w:rsidR="00811A29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0%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811A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</w:t>
            </w:r>
            <w:r w:rsidR="00811A29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0%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811A29" w:rsidP="00811A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3.90</w:t>
            </w:r>
            <w:r w:rsidR="003C23F3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</w:tbl>
    <w:p w:rsidR="00AE5AAF" w:rsidRDefault="003C23F3" w:rsidP="00B03012">
      <w:pPr>
        <w:wordWrap w:val="0"/>
        <w:spacing w:line="46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根据2019年7月第</w:t>
      </w:r>
      <w:r w:rsidR="009B35DC">
        <w:rPr>
          <w:rFonts w:ascii="宋体" w:hAnsi="宋体" w:hint="eastAsia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版产品说明书的约定，2019年7月24日（含）起</w:t>
      </w:r>
      <w:r w:rsidR="00811A29">
        <w:rPr>
          <w:rFonts w:ascii="宋体" w:hAnsi="宋体" w:hint="eastAsia"/>
          <w:color w:val="000000"/>
          <w:szCs w:val="21"/>
        </w:rPr>
        <w:t>至2019年9月4日（含）</w:t>
      </w:r>
      <w:r>
        <w:rPr>
          <w:rFonts w:ascii="宋体" w:hAnsi="宋体" w:hint="eastAsia"/>
          <w:color w:val="000000"/>
          <w:szCs w:val="21"/>
        </w:rPr>
        <w:t>投资者实际收益率如下表所示：</w:t>
      </w:r>
    </w:p>
    <w:tbl>
      <w:tblPr>
        <w:tblW w:w="7860" w:type="dxa"/>
        <w:tblLayout w:type="fixed"/>
        <w:tblLook w:val="04A0" w:firstRow="1" w:lastRow="0" w:firstColumn="1" w:lastColumn="0" w:noHBand="0" w:noVBand="1"/>
      </w:tblPr>
      <w:tblGrid>
        <w:gridCol w:w="1380"/>
        <w:gridCol w:w="1080"/>
        <w:gridCol w:w="1080"/>
        <w:gridCol w:w="1080"/>
        <w:gridCol w:w="1080"/>
        <w:gridCol w:w="1080"/>
        <w:gridCol w:w="1080"/>
      </w:tblGrid>
      <w:tr w:rsidR="00AE5AAF">
        <w:trPr>
          <w:trHeight w:val="525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投资期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1≤T&lt;30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30≤T&lt;60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60≤T&lt;120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120≤T&lt;270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270≤T&lt;365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≥365</w:t>
            </w:r>
          </w:p>
        </w:tc>
      </w:tr>
      <w:tr w:rsidR="00AE5AAF">
        <w:trPr>
          <w:trHeight w:val="52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投资者实际收益率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B37D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2.9</w:t>
            </w:r>
            <w:r w:rsidR="004059B1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</w:t>
            </w:r>
            <w:r w:rsidR="00B37D5C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</w:t>
            </w:r>
            <w:r w:rsidR="00B37D5C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</w:t>
            </w:r>
            <w:r w:rsidR="00B37D5C">
              <w:rPr>
                <w:rFonts w:ascii="宋体" w:hAnsi="宋体" w:cs="宋体" w:hint="eastAsia"/>
                <w:color w:val="000000"/>
                <w:kern w:val="0"/>
                <w:szCs w:val="21"/>
              </w:rPr>
              <w:t>70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4.</w:t>
            </w:r>
            <w:r w:rsidR="00B37D5C"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</w:tbl>
    <w:p w:rsidR="00AE5AAF" w:rsidRDefault="004059B1" w:rsidP="003C23F3">
      <w:pPr>
        <w:spacing w:line="56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其中：T为投资期，单位：天</w:t>
      </w:r>
    </w:p>
    <w:p w:rsidR="00AE5AAF" w:rsidRDefault="004059B1">
      <w:pPr>
        <w:spacing w:line="56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相关收益及计算方法，请具体查阅产品说明书或收益率调整公告（如有）。</w:t>
      </w:r>
    </w:p>
    <w:p w:rsidR="003C23F3" w:rsidRDefault="003C23F3" w:rsidP="00665BBD">
      <w:pPr>
        <w:wordWrap w:val="0"/>
        <w:spacing w:line="460" w:lineRule="exact"/>
        <w:ind w:left="422"/>
        <w:rPr>
          <w:rFonts w:ascii="宋体" w:hAnsi="宋体"/>
          <w:b/>
          <w:color w:val="000000"/>
          <w:szCs w:val="21"/>
        </w:rPr>
      </w:pPr>
    </w:p>
    <w:p w:rsidR="008114DE" w:rsidRDefault="004059B1" w:rsidP="008114DE">
      <w:pPr>
        <w:numPr>
          <w:ilvl w:val="0"/>
          <w:numId w:val="1"/>
        </w:numPr>
        <w:wordWrap w:val="0"/>
        <w:spacing w:line="460" w:lineRule="exact"/>
        <w:ind w:firstLineChars="200" w:firstLine="422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lastRenderedPageBreak/>
        <w:t>产品投资组合详细情况</w:t>
      </w:r>
      <w:bookmarkStart w:id="0" w:name="OLE_LINK1"/>
      <w:bookmarkStart w:id="1" w:name="OLE_LINK2"/>
    </w:p>
    <w:p w:rsidR="00AE5AAF" w:rsidRPr="008114DE" w:rsidRDefault="004059B1" w:rsidP="008114DE">
      <w:pPr>
        <w:wordWrap w:val="0"/>
        <w:spacing w:line="460" w:lineRule="exact"/>
        <w:ind w:left="422"/>
        <w:rPr>
          <w:rFonts w:ascii="宋体" w:hAnsi="宋体"/>
          <w:b/>
          <w:color w:val="000000"/>
          <w:szCs w:val="21"/>
        </w:rPr>
      </w:pPr>
      <w:r w:rsidRPr="008114DE">
        <w:rPr>
          <w:rFonts w:ascii="宋体" w:hAnsi="宋体" w:hint="eastAsia"/>
          <w:b/>
          <w:color w:val="000000"/>
          <w:szCs w:val="21"/>
        </w:rPr>
        <w:t>（一）投资组合的基本情况</w:t>
      </w:r>
      <w:bookmarkEnd w:id="0"/>
      <w:bookmarkEnd w:id="1"/>
    </w:p>
    <w:p w:rsidR="00AE5AAF" w:rsidRDefault="00B430E3" w:rsidP="00B430E3">
      <w:pPr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noProof/>
        </w:rPr>
        <w:drawing>
          <wp:inline distT="0" distB="0" distL="0" distR="0" wp14:anchorId="52531B17" wp14:editId="7EF2B945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821AC" w:rsidRDefault="003821AC">
      <w:pPr>
        <w:widowControl/>
        <w:wordWrap w:val="0"/>
        <w:spacing w:line="460" w:lineRule="exact"/>
        <w:ind w:firstLineChars="200" w:firstLine="422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:rsidR="00AE5AAF" w:rsidRDefault="004059B1">
      <w:pPr>
        <w:widowControl/>
        <w:wordWrap w:val="0"/>
        <w:spacing w:line="460" w:lineRule="exact"/>
        <w:ind w:firstLineChars="200" w:firstLine="422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（二）</w:t>
      </w:r>
      <w:r>
        <w:rPr>
          <w:rFonts w:hint="eastAsia"/>
          <w:b/>
          <w:color w:val="000000"/>
          <w:szCs w:val="21"/>
        </w:rPr>
        <w:t>资产的行业占比构成</w:t>
      </w:r>
    </w:p>
    <w:p w:rsidR="00AE5AAF" w:rsidRDefault="00B03012" w:rsidP="00B03012">
      <w:pPr>
        <w:widowControl/>
        <w:wordWrap w:val="0"/>
        <w:ind w:firstLineChars="200" w:firstLine="420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noProof/>
        </w:rPr>
        <w:drawing>
          <wp:inline distT="0" distB="0" distL="0" distR="0" wp14:anchorId="7A5C2405" wp14:editId="6F10EEA2">
            <wp:extent cx="5581498" cy="4030675"/>
            <wp:effectExtent l="0" t="0" r="19685" b="2730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03012" w:rsidRDefault="00B03012" w:rsidP="008114DE">
      <w:pPr>
        <w:widowControl/>
        <w:wordWrap w:val="0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:rsidR="00B03012" w:rsidRDefault="00B03012" w:rsidP="008114DE">
      <w:pPr>
        <w:widowControl/>
        <w:wordWrap w:val="0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:rsidR="00B03012" w:rsidRDefault="00B03012" w:rsidP="008114DE">
      <w:pPr>
        <w:widowControl/>
        <w:wordWrap w:val="0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:rsidR="00AE5AAF" w:rsidRDefault="004059B1" w:rsidP="008114DE">
      <w:pPr>
        <w:widowControl/>
        <w:wordWrap w:val="0"/>
        <w:jc w:val="left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lastRenderedPageBreak/>
        <w:t>（三）</w:t>
      </w:r>
      <w:r>
        <w:rPr>
          <w:rFonts w:ascii="宋体" w:hAnsi="宋体" w:hint="eastAsia"/>
          <w:b/>
          <w:color w:val="000000"/>
          <w:szCs w:val="21"/>
        </w:rPr>
        <w:t>投资资产的期限结构</w:t>
      </w:r>
    </w:p>
    <w:p w:rsidR="00AE5AAF" w:rsidRDefault="005075F2">
      <w:pPr>
        <w:widowControl/>
        <w:wordWrap w:val="0"/>
        <w:ind w:firstLineChars="200" w:firstLine="420"/>
        <w:jc w:val="left"/>
      </w:pPr>
      <w:r>
        <w:rPr>
          <w:noProof/>
        </w:rPr>
        <w:drawing>
          <wp:inline distT="0" distB="0" distL="0" distR="0" wp14:anchorId="1A5B676E" wp14:editId="502744DC">
            <wp:extent cx="4572000" cy="2743200"/>
            <wp:effectExtent l="0" t="0" r="19050" b="1905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E5AAF" w:rsidRDefault="004059B1">
      <w:pPr>
        <w:widowControl/>
        <w:wordWrap w:val="0"/>
        <w:spacing w:line="460" w:lineRule="exact"/>
        <w:ind w:firstLineChars="200" w:firstLine="422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四、产品整体运作情况</w:t>
      </w:r>
    </w:p>
    <w:p w:rsidR="00AE5AAF" w:rsidRDefault="004059B1">
      <w:pPr>
        <w:widowControl/>
        <w:wordWrap w:val="0"/>
        <w:spacing w:line="46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（一）自本产品成立起至本报告日，产品管理人恪尽职守、勤勉尽责、谨慎管理，忠实履行有关法律、行政法规和相关文件的规定。</w:t>
      </w:r>
    </w:p>
    <w:p w:rsidR="00AE5AAF" w:rsidRDefault="004059B1" w:rsidP="00FE204B">
      <w:pPr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（二）截至本报告日，</w:t>
      </w:r>
      <w:r w:rsidR="00FE204B">
        <w:rPr>
          <w:rFonts w:ascii="宋体" w:hAnsi="宋体" w:cs="宋体" w:hint="eastAsia"/>
          <w:color w:val="000000"/>
          <w:kern w:val="0"/>
          <w:szCs w:val="21"/>
        </w:rPr>
        <w:t>资产</w:t>
      </w:r>
      <w:r w:rsidR="00D67089" w:rsidRPr="00D67089">
        <w:rPr>
          <w:rFonts w:ascii="宋体" w:hAnsi="宋体" w:cs="宋体" w:hint="eastAsia"/>
          <w:color w:val="000000"/>
          <w:kern w:val="0"/>
          <w:szCs w:val="21"/>
        </w:rPr>
        <w:t>16天津航空EB007</w:t>
      </w:r>
      <w:r w:rsidR="00FE204B">
        <w:rPr>
          <w:rFonts w:ascii="宋体" w:hAnsi="宋体" w:cs="宋体" w:hint="eastAsia"/>
          <w:color w:val="000000"/>
          <w:kern w:val="0"/>
          <w:szCs w:val="21"/>
        </w:rPr>
        <w:t>在我行的风险分类调整为关注，</w:t>
      </w:r>
      <w:r w:rsidR="009D0D49">
        <w:rPr>
          <w:rFonts w:ascii="宋体" w:hAnsi="宋体" w:cs="宋体" w:hint="eastAsia"/>
          <w:color w:val="000000"/>
          <w:kern w:val="0"/>
          <w:szCs w:val="21"/>
        </w:rPr>
        <w:t>资产</w:t>
      </w:r>
      <w:r w:rsidR="009D0D49" w:rsidRPr="009D0D49">
        <w:rPr>
          <w:rFonts w:ascii="宋体" w:hAnsi="宋体" w:cs="宋体" w:hint="eastAsia"/>
          <w:color w:val="000000"/>
          <w:kern w:val="0"/>
          <w:szCs w:val="21"/>
        </w:rPr>
        <w:t>14津滨海新城AB017</w:t>
      </w:r>
      <w:r w:rsidR="009D0D49">
        <w:rPr>
          <w:rFonts w:ascii="宋体" w:hAnsi="宋体" w:cs="宋体" w:hint="eastAsia"/>
          <w:color w:val="000000"/>
          <w:kern w:val="0"/>
          <w:szCs w:val="21"/>
        </w:rPr>
        <w:t>到期后部分本金未能按时清偿，</w:t>
      </w:r>
      <w:bookmarkStart w:id="2" w:name="_GoBack"/>
      <w:bookmarkEnd w:id="2"/>
      <w:r w:rsidR="00FE204B">
        <w:rPr>
          <w:rFonts w:ascii="宋体" w:hAnsi="宋体" w:cs="宋体" w:hint="eastAsia"/>
          <w:color w:val="000000"/>
          <w:kern w:val="0"/>
          <w:szCs w:val="21"/>
        </w:rPr>
        <w:t>但不影响产品兑付，</w:t>
      </w:r>
      <w:r w:rsidR="00D67089">
        <w:rPr>
          <w:rFonts w:ascii="宋体" w:hAnsi="宋体" w:cs="宋体" w:hint="eastAsia"/>
          <w:color w:val="000000"/>
          <w:kern w:val="0"/>
          <w:szCs w:val="21"/>
        </w:rPr>
        <w:t>剩余</w:t>
      </w:r>
      <w:r>
        <w:rPr>
          <w:rFonts w:ascii="宋体" w:hAnsi="宋体" w:cs="宋体" w:hint="eastAsia"/>
          <w:color w:val="000000"/>
          <w:kern w:val="0"/>
          <w:szCs w:val="21"/>
        </w:rPr>
        <w:t>投资资产正常运营，未发现有异常情况或者不利情况。</w:t>
      </w:r>
    </w:p>
    <w:p w:rsidR="00AE5AAF" w:rsidRDefault="004059B1">
      <w:pPr>
        <w:widowControl/>
        <w:wordWrap w:val="0"/>
        <w:spacing w:line="46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（三）本产品自成立至本报告日，没有发生涉诉及诉讼等损害投资者利益的情形。</w:t>
      </w:r>
    </w:p>
    <w:p w:rsidR="00AE5AAF" w:rsidRDefault="00AE5AAF">
      <w:pPr>
        <w:widowControl/>
        <w:wordWrap w:val="0"/>
        <w:spacing w:line="46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AE5AAF" w:rsidRDefault="004059B1">
      <w:pPr>
        <w:spacing w:line="560" w:lineRule="exact"/>
        <w:ind w:firstLineChars="200" w:firstLine="420"/>
        <w:jc w:val="right"/>
      </w:pPr>
      <w:r>
        <w:rPr>
          <w:rFonts w:hint="eastAsia"/>
        </w:rPr>
        <w:t>中国建设银行天津市分行</w:t>
      </w:r>
    </w:p>
    <w:p w:rsidR="00AE5AAF" w:rsidRDefault="004059B1">
      <w:pPr>
        <w:spacing w:line="560" w:lineRule="exact"/>
        <w:ind w:firstLineChars="200" w:firstLine="420"/>
        <w:jc w:val="right"/>
      </w:pPr>
      <w:r>
        <w:rPr>
          <w:rFonts w:hint="eastAsia"/>
        </w:rPr>
        <w:t>2019</w:t>
      </w:r>
      <w:r>
        <w:rPr>
          <w:rFonts w:hint="eastAsia"/>
        </w:rPr>
        <w:t>年</w:t>
      </w:r>
      <w:r w:rsidR="00BB02EF">
        <w:rPr>
          <w:rFonts w:hint="eastAsia"/>
        </w:rPr>
        <w:t>12</w:t>
      </w:r>
      <w:r>
        <w:rPr>
          <w:rFonts w:hint="eastAsia"/>
        </w:rPr>
        <w:t>月</w:t>
      </w:r>
      <w:r w:rsidR="00BB02EF">
        <w:rPr>
          <w:rFonts w:hint="eastAsia"/>
        </w:rPr>
        <w:t>3</w:t>
      </w:r>
      <w:r>
        <w:rPr>
          <w:rFonts w:hint="eastAsia"/>
        </w:rPr>
        <w:t>日</w:t>
      </w:r>
    </w:p>
    <w:p w:rsidR="00AE5AAF" w:rsidRDefault="00AE5AAF">
      <w:pPr>
        <w:spacing w:line="560" w:lineRule="exact"/>
        <w:ind w:firstLineChars="200" w:firstLine="420"/>
        <w:jc w:val="right"/>
      </w:pPr>
    </w:p>
    <w:sectPr w:rsidR="00AE5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09E" w:rsidRDefault="00F8009E" w:rsidP="00C7283B">
      <w:r>
        <w:separator/>
      </w:r>
    </w:p>
  </w:endnote>
  <w:endnote w:type="continuationSeparator" w:id="0">
    <w:p w:rsidR="00F8009E" w:rsidRDefault="00F8009E" w:rsidP="00C7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09E" w:rsidRDefault="00F8009E" w:rsidP="00C7283B">
      <w:r>
        <w:separator/>
      </w:r>
    </w:p>
  </w:footnote>
  <w:footnote w:type="continuationSeparator" w:id="0">
    <w:p w:rsidR="00F8009E" w:rsidRDefault="00F8009E" w:rsidP="00C7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DA60B"/>
    <w:multiLevelType w:val="singleLevel"/>
    <w:tmpl w:val="5C2DA60B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2B5"/>
    <w:rsid w:val="00015659"/>
    <w:rsid w:val="00017294"/>
    <w:rsid w:val="000204E1"/>
    <w:rsid w:val="0002296B"/>
    <w:rsid w:val="00022FE8"/>
    <w:rsid w:val="0002417B"/>
    <w:rsid w:val="0003090B"/>
    <w:rsid w:val="000316E4"/>
    <w:rsid w:val="00031D09"/>
    <w:rsid w:val="00035BE6"/>
    <w:rsid w:val="0003625B"/>
    <w:rsid w:val="00053C8D"/>
    <w:rsid w:val="0006129B"/>
    <w:rsid w:val="000615CD"/>
    <w:rsid w:val="00072B1D"/>
    <w:rsid w:val="00073968"/>
    <w:rsid w:val="000825DE"/>
    <w:rsid w:val="000843FC"/>
    <w:rsid w:val="000849DF"/>
    <w:rsid w:val="000957B3"/>
    <w:rsid w:val="000A2044"/>
    <w:rsid w:val="000A403F"/>
    <w:rsid w:val="000D1D1C"/>
    <w:rsid w:val="000F20FA"/>
    <w:rsid w:val="001100D5"/>
    <w:rsid w:val="0011207A"/>
    <w:rsid w:val="00112A09"/>
    <w:rsid w:val="0014429E"/>
    <w:rsid w:val="00151ECD"/>
    <w:rsid w:val="00166FF1"/>
    <w:rsid w:val="00180C41"/>
    <w:rsid w:val="00181764"/>
    <w:rsid w:val="00193A69"/>
    <w:rsid w:val="00196897"/>
    <w:rsid w:val="00196CB7"/>
    <w:rsid w:val="001A1B5C"/>
    <w:rsid w:val="001A4DCB"/>
    <w:rsid w:val="001B1D2C"/>
    <w:rsid w:val="001B2AF3"/>
    <w:rsid w:val="001B65DF"/>
    <w:rsid w:val="001C2160"/>
    <w:rsid w:val="001C3ADE"/>
    <w:rsid w:val="001D01FF"/>
    <w:rsid w:val="001D62AC"/>
    <w:rsid w:val="001E72F4"/>
    <w:rsid w:val="001F2D0B"/>
    <w:rsid w:val="001F36A1"/>
    <w:rsid w:val="001F7A9E"/>
    <w:rsid w:val="00201C49"/>
    <w:rsid w:val="00201ED8"/>
    <w:rsid w:val="00207266"/>
    <w:rsid w:val="00212A65"/>
    <w:rsid w:val="00217A44"/>
    <w:rsid w:val="0023748F"/>
    <w:rsid w:val="002419D1"/>
    <w:rsid w:val="00251243"/>
    <w:rsid w:val="0025248C"/>
    <w:rsid w:val="0026593E"/>
    <w:rsid w:val="00277965"/>
    <w:rsid w:val="00281A03"/>
    <w:rsid w:val="00294BE5"/>
    <w:rsid w:val="002B7768"/>
    <w:rsid w:val="002C6B6E"/>
    <w:rsid w:val="002D1DC7"/>
    <w:rsid w:val="002E0020"/>
    <w:rsid w:val="002E2749"/>
    <w:rsid w:val="002E277F"/>
    <w:rsid w:val="002F7C8F"/>
    <w:rsid w:val="00300E66"/>
    <w:rsid w:val="003020BE"/>
    <w:rsid w:val="00304340"/>
    <w:rsid w:val="003065C3"/>
    <w:rsid w:val="00307399"/>
    <w:rsid w:val="003118E8"/>
    <w:rsid w:val="003157E2"/>
    <w:rsid w:val="00317E3B"/>
    <w:rsid w:val="0033234B"/>
    <w:rsid w:val="003343FF"/>
    <w:rsid w:val="00343209"/>
    <w:rsid w:val="00356A15"/>
    <w:rsid w:val="00360088"/>
    <w:rsid w:val="003606DE"/>
    <w:rsid w:val="00366684"/>
    <w:rsid w:val="0037195A"/>
    <w:rsid w:val="00372F18"/>
    <w:rsid w:val="003800D9"/>
    <w:rsid w:val="0038092D"/>
    <w:rsid w:val="00381B4D"/>
    <w:rsid w:val="003821AC"/>
    <w:rsid w:val="003916B6"/>
    <w:rsid w:val="00392520"/>
    <w:rsid w:val="003B129A"/>
    <w:rsid w:val="003C23F3"/>
    <w:rsid w:val="003C2426"/>
    <w:rsid w:val="003D3F6A"/>
    <w:rsid w:val="003D7662"/>
    <w:rsid w:val="003F1509"/>
    <w:rsid w:val="003F25B0"/>
    <w:rsid w:val="00401D0E"/>
    <w:rsid w:val="004037B0"/>
    <w:rsid w:val="004059B1"/>
    <w:rsid w:val="00406958"/>
    <w:rsid w:val="00420936"/>
    <w:rsid w:val="00425445"/>
    <w:rsid w:val="00432E28"/>
    <w:rsid w:val="00440945"/>
    <w:rsid w:val="00442A2E"/>
    <w:rsid w:val="0044518E"/>
    <w:rsid w:val="00451D51"/>
    <w:rsid w:val="00457ED1"/>
    <w:rsid w:val="0046282E"/>
    <w:rsid w:val="00464E5D"/>
    <w:rsid w:val="00466A50"/>
    <w:rsid w:val="0046716C"/>
    <w:rsid w:val="004706E8"/>
    <w:rsid w:val="004760F1"/>
    <w:rsid w:val="00480D36"/>
    <w:rsid w:val="004A7410"/>
    <w:rsid w:val="004A7C64"/>
    <w:rsid w:val="004B1C5D"/>
    <w:rsid w:val="004B2103"/>
    <w:rsid w:val="004B3B0F"/>
    <w:rsid w:val="004C554C"/>
    <w:rsid w:val="004C7C5D"/>
    <w:rsid w:val="004D0F3A"/>
    <w:rsid w:val="004D3823"/>
    <w:rsid w:val="004E1D91"/>
    <w:rsid w:val="004E3BBE"/>
    <w:rsid w:val="004E43E7"/>
    <w:rsid w:val="004F4A17"/>
    <w:rsid w:val="00500360"/>
    <w:rsid w:val="00500503"/>
    <w:rsid w:val="005075F2"/>
    <w:rsid w:val="00514527"/>
    <w:rsid w:val="00525607"/>
    <w:rsid w:val="00527941"/>
    <w:rsid w:val="00536240"/>
    <w:rsid w:val="005553F2"/>
    <w:rsid w:val="00556263"/>
    <w:rsid w:val="00556500"/>
    <w:rsid w:val="00556BB0"/>
    <w:rsid w:val="00570166"/>
    <w:rsid w:val="00572464"/>
    <w:rsid w:val="00576DE7"/>
    <w:rsid w:val="005945D2"/>
    <w:rsid w:val="005A0E35"/>
    <w:rsid w:val="005B2F89"/>
    <w:rsid w:val="005C150E"/>
    <w:rsid w:val="005C4CC5"/>
    <w:rsid w:val="005D1F9C"/>
    <w:rsid w:val="005D3017"/>
    <w:rsid w:val="005D42B5"/>
    <w:rsid w:val="005D76DA"/>
    <w:rsid w:val="005E21B3"/>
    <w:rsid w:val="005E4DD7"/>
    <w:rsid w:val="005E5C1F"/>
    <w:rsid w:val="005E6D58"/>
    <w:rsid w:val="005F3F0E"/>
    <w:rsid w:val="006025D9"/>
    <w:rsid w:val="00603A76"/>
    <w:rsid w:val="00612ED8"/>
    <w:rsid w:val="00617958"/>
    <w:rsid w:val="00621D47"/>
    <w:rsid w:val="00622D38"/>
    <w:rsid w:val="00623885"/>
    <w:rsid w:val="00631732"/>
    <w:rsid w:val="00634979"/>
    <w:rsid w:val="006349F7"/>
    <w:rsid w:val="00634AE8"/>
    <w:rsid w:val="00646993"/>
    <w:rsid w:val="00664529"/>
    <w:rsid w:val="00665BBD"/>
    <w:rsid w:val="0066719E"/>
    <w:rsid w:val="00670C35"/>
    <w:rsid w:val="0068175B"/>
    <w:rsid w:val="006A1B82"/>
    <w:rsid w:val="006A21DC"/>
    <w:rsid w:val="006B09A5"/>
    <w:rsid w:val="006B2AF8"/>
    <w:rsid w:val="006C0BFD"/>
    <w:rsid w:val="006D2A80"/>
    <w:rsid w:val="006E1817"/>
    <w:rsid w:val="006F02D0"/>
    <w:rsid w:val="006F2B0E"/>
    <w:rsid w:val="00703E05"/>
    <w:rsid w:val="007101E4"/>
    <w:rsid w:val="0072150D"/>
    <w:rsid w:val="0072778A"/>
    <w:rsid w:val="00735724"/>
    <w:rsid w:val="00740172"/>
    <w:rsid w:val="007530C4"/>
    <w:rsid w:val="00760F69"/>
    <w:rsid w:val="007679EC"/>
    <w:rsid w:val="0077465A"/>
    <w:rsid w:val="00775A49"/>
    <w:rsid w:val="00783219"/>
    <w:rsid w:val="0079400F"/>
    <w:rsid w:val="00795168"/>
    <w:rsid w:val="007A3BBD"/>
    <w:rsid w:val="007B5052"/>
    <w:rsid w:val="007D621C"/>
    <w:rsid w:val="007D7A46"/>
    <w:rsid w:val="007E0961"/>
    <w:rsid w:val="007E25A3"/>
    <w:rsid w:val="007E609C"/>
    <w:rsid w:val="007F02C1"/>
    <w:rsid w:val="007F68AD"/>
    <w:rsid w:val="00802DC8"/>
    <w:rsid w:val="0080376D"/>
    <w:rsid w:val="00807132"/>
    <w:rsid w:val="008114DE"/>
    <w:rsid w:val="00811A29"/>
    <w:rsid w:val="00813808"/>
    <w:rsid w:val="0081517C"/>
    <w:rsid w:val="00821525"/>
    <w:rsid w:val="00825F23"/>
    <w:rsid w:val="00830191"/>
    <w:rsid w:val="00832867"/>
    <w:rsid w:val="00835435"/>
    <w:rsid w:val="00840DA1"/>
    <w:rsid w:val="00842F9E"/>
    <w:rsid w:val="00844EFA"/>
    <w:rsid w:val="00855538"/>
    <w:rsid w:val="008616B6"/>
    <w:rsid w:val="00863393"/>
    <w:rsid w:val="00874B91"/>
    <w:rsid w:val="00887B2A"/>
    <w:rsid w:val="00887BF3"/>
    <w:rsid w:val="00892323"/>
    <w:rsid w:val="008A6819"/>
    <w:rsid w:val="008B270C"/>
    <w:rsid w:val="008B48C1"/>
    <w:rsid w:val="008C0D00"/>
    <w:rsid w:val="008D1353"/>
    <w:rsid w:val="008D1EEE"/>
    <w:rsid w:val="008D4C4B"/>
    <w:rsid w:val="008D4F53"/>
    <w:rsid w:val="008E33B9"/>
    <w:rsid w:val="008E782A"/>
    <w:rsid w:val="008F21DF"/>
    <w:rsid w:val="008F42B5"/>
    <w:rsid w:val="0090202D"/>
    <w:rsid w:val="0090573E"/>
    <w:rsid w:val="009072BD"/>
    <w:rsid w:val="00910F8F"/>
    <w:rsid w:val="00917B85"/>
    <w:rsid w:val="00970241"/>
    <w:rsid w:val="009715CF"/>
    <w:rsid w:val="009735E0"/>
    <w:rsid w:val="00976BD0"/>
    <w:rsid w:val="00982E35"/>
    <w:rsid w:val="00990502"/>
    <w:rsid w:val="009942E0"/>
    <w:rsid w:val="0099488B"/>
    <w:rsid w:val="00995C1C"/>
    <w:rsid w:val="009A5143"/>
    <w:rsid w:val="009B0F7A"/>
    <w:rsid w:val="009B156A"/>
    <w:rsid w:val="009B35DC"/>
    <w:rsid w:val="009B5465"/>
    <w:rsid w:val="009C3463"/>
    <w:rsid w:val="009C5B38"/>
    <w:rsid w:val="009D0D49"/>
    <w:rsid w:val="009E7BE3"/>
    <w:rsid w:val="009F1B1F"/>
    <w:rsid w:val="009F3EAB"/>
    <w:rsid w:val="00A000F6"/>
    <w:rsid w:val="00A064E9"/>
    <w:rsid w:val="00A1249C"/>
    <w:rsid w:val="00A204EB"/>
    <w:rsid w:val="00A20A01"/>
    <w:rsid w:val="00A22AF2"/>
    <w:rsid w:val="00A3050F"/>
    <w:rsid w:val="00A34043"/>
    <w:rsid w:val="00A3442C"/>
    <w:rsid w:val="00A37C9C"/>
    <w:rsid w:val="00A403F6"/>
    <w:rsid w:val="00A442AE"/>
    <w:rsid w:val="00A47A9F"/>
    <w:rsid w:val="00A70DAC"/>
    <w:rsid w:val="00A83CFE"/>
    <w:rsid w:val="00A86D26"/>
    <w:rsid w:val="00A934BD"/>
    <w:rsid w:val="00A942B9"/>
    <w:rsid w:val="00AA4708"/>
    <w:rsid w:val="00AB0879"/>
    <w:rsid w:val="00AB7410"/>
    <w:rsid w:val="00AE4563"/>
    <w:rsid w:val="00AE5AAF"/>
    <w:rsid w:val="00AF241D"/>
    <w:rsid w:val="00AF7D5E"/>
    <w:rsid w:val="00B03012"/>
    <w:rsid w:val="00B030A4"/>
    <w:rsid w:val="00B11D51"/>
    <w:rsid w:val="00B120C7"/>
    <w:rsid w:val="00B15327"/>
    <w:rsid w:val="00B16178"/>
    <w:rsid w:val="00B23A48"/>
    <w:rsid w:val="00B23C3D"/>
    <w:rsid w:val="00B254FA"/>
    <w:rsid w:val="00B3049D"/>
    <w:rsid w:val="00B31137"/>
    <w:rsid w:val="00B31D22"/>
    <w:rsid w:val="00B37D5C"/>
    <w:rsid w:val="00B430E3"/>
    <w:rsid w:val="00B44653"/>
    <w:rsid w:val="00B53C25"/>
    <w:rsid w:val="00B6574D"/>
    <w:rsid w:val="00B65EFE"/>
    <w:rsid w:val="00B67E0A"/>
    <w:rsid w:val="00B8177B"/>
    <w:rsid w:val="00B915D7"/>
    <w:rsid w:val="00B94742"/>
    <w:rsid w:val="00B947BE"/>
    <w:rsid w:val="00B9672B"/>
    <w:rsid w:val="00B9748E"/>
    <w:rsid w:val="00BA3958"/>
    <w:rsid w:val="00BA5D4A"/>
    <w:rsid w:val="00BB02EF"/>
    <w:rsid w:val="00BC0BD2"/>
    <w:rsid w:val="00BC107B"/>
    <w:rsid w:val="00BC2DFC"/>
    <w:rsid w:val="00BC59EE"/>
    <w:rsid w:val="00BC5EEB"/>
    <w:rsid w:val="00BD21EF"/>
    <w:rsid w:val="00BE4125"/>
    <w:rsid w:val="00BF361C"/>
    <w:rsid w:val="00C015E7"/>
    <w:rsid w:val="00C03BD6"/>
    <w:rsid w:val="00C06B35"/>
    <w:rsid w:val="00C07919"/>
    <w:rsid w:val="00C130CA"/>
    <w:rsid w:val="00C15485"/>
    <w:rsid w:val="00C23E85"/>
    <w:rsid w:val="00C37F02"/>
    <w:rsid w:val="00C43250"/>
    <w:rsid w:val="00C461A6"/>
    <w:rsid w:val="00C51611"/>
    <w:rsid w:val="00C52277"/>
    <w:rsid w:val="00C61DBB"/>
    <w:rsid w:val="00C6356D"/>
    <w:rsid w:val="00C664E1"/>
    <w:rsid w:val="00C7283B"/>
    <w:rsid w:val="00C758BD"/>
    <w:rsid w:val="00CA5CBD"/>
    <w:rsid w:val="00CA7650"/>
    <w:rsid w:val="00CB478C"/>
    <w:rsid w:val="00CB47A5"/>
    <w:rsid w:val="00CD1C7B"/>
    <w:rsid w:val="00CE7EA2"/>
    <w:rsid w:val="00CF34A7"/>
    <w:rsid w:val="00CF4A0F"/>
    <w:rsid w:val="00CF73E4"/>
    <w:rsid w:val="00D00419"/>
    <w:rsid w:val="00D02AEB"/>
    <w:rsid w:val="00D0567A"/>
    <w:rsid w:val="00D13954"/>
    <w:rsid w:val="00D20D81"/>
    <w:rsid w:val="00D255AE"/>
    <w:rsid w:val="00D31573"/>
    <w:rsid w:val="00D412B6"/>
    <w:rsid w:val="00D46C56"/>
    <w:rsid w:val="00D5756B"/>
    <w:rsid w:val="00D65E3E"/>
    <w:rsid w:val="00D67089"/>
    <w:rsid w:val="00D72A51"/>
    <w:rsid w:val="00D72B3A"/>
    <w:rsid w:val="00D83F06"/>
    <w:rsid w:val="00D91E9A"/>
    <w:rsid w:val="00D93293"/>
    <w:rsid w:val="00DA23C4"/>
    <w:rsid w:val="00DA347C"/>
    <w:rsid w:val="00DA705A"/>
    <w:rsid w:val="00DB577B"/>
    <w:rsid w:val="00DC3091"/>
    <w:rsid w:val="00DE2FED"/>
    <w:rsid w:val="00DF2402"/>
    <w:rsid w:val="00E03143"/>
    <w:rsid w:val="00E06D33"/>
    <w:rsid w:val="00E1408A"/>
    <w:rsid w:val="00E14C06"/>
    <w:rsid w:val="00E14DFB"/>
    <w:rsid w:val="00E431F7"/>
    <w:rsid w:val="00E46041"/>
    <w:rsid w:val="00E57A67"/>
    <w:rsid w:val="00E70D61"/>
    <w:rsid w:val="00E737B7"/>
    <w:rsid w:val="00E73AE3"/>
    <w:rsid w:val="00E75A65"/>
    <w:rsid w:val="00E81D57"/>
    <w:rsid w:val="00E84485"/>
    <w:rsid w:val="00E95289"/>
    <w:rsid w:val="00E973CF"/>
    <w:rsid w:val="00EA0A83"/>
    <w:rsid w:val="00EB0CE3"/>
    <w:rsid w:val="00EB0E6B"/>
    <w:rsid w:val="00EB36EC"/>
    <w:rsid w:val="00EB589B"/>
    <w:rsid w:val="00EB62C7"/>
    <w:rsid w:val="00EC2F6B"/>
    <w:rsid w:val="00ED0576"/>
    <w:rsid w:val="00ED0580"/>
    <w:rsid w:val="00ED6337"/>
    <w:rsid w:val="00ED78B0"/>
    <w:rsid w:val="00ED7FC0"/>
    <w:rsid w:val="00EE3E2C"/>
    <w:rsid w:val="00EE719E"/>
    <w:rsid w:val="00EE7597"/>
    <w:rsid w:val="00EF0E38"/>
    <w:rsid w:val="00F01C55"/>
    <w:rsid w:val="00F0551E"/>
    <w:rsid w:val="00F06F24"/>
    <w:rsid w:val="00F26219"/>
    <w:rsid w:val="00F313E9"/>
    <w:rsid w:val="00F3473A"/>
    <w:rsid w:val="00F34C3A"/>
    <w:rsid w:val="00F43556"/>
    <w:rsid w:val="00F577BF"/>
    <w:rsid w:val="00F628E8"/>
    <w:rsid w:val="00F77881"/>
    <w:rsid w:val="00F8009E"/>
    <w:rsid w:val="00F94F97"/>
    <w:rsid w:val="00F95264"/>
    <w:rsid w:val="00FB6B6C"/>
    <w:rsid w:val="00FD61CC"/>
    <w:rsid w:val="00FE204B"/>
    <w:rsid w:val="00FF18C3"/>
    <w:rsid w:val="00FF2781"/>
    <w:rsid w:val="00FF4054"/>
    <w:rsid w:val="00FF5F70"/>
    <w:rsid w:val="00FF74E7"/>
    <w:rsid w:val="00FF7951"/>
    <w:rsid w:val="1DAA441D"/>
    <w:rsid w:val="201E7143"/>
    <w:rsid w:val="27AC4510"/>
    <w:rsid w:val="345F7DEA"/>
    <w:rsid w:val="3664363E"/>
    <w:rsid w:val="3D5B4951"/>
    <w:rsid w:val="507B7BC4"/>
    <w:rsid w:val="5F4C27D7"/>
    <w:rsid w:val="6577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6">
    <w:name w:val="FollowedHyperlink"/>
    <w:basedOn w:val="a0"/>
    <w:uiPriority w:val="99"/>
    <w:unhideWhenUsed/>
    <w:qFormat/>
    <w:rPr>
      <w:color w:val="0000CC"/>
      <w:u w:val="single"/>
    </w:rPr>
  </w:style>
  <w:style w:type="character" w:styleId="a7">
    <w:name w:val="Hyperlink"/>
    <w:basedOn w:val="a0"/>
    <w:uiPriority w:val="99"/>
    <w:unhideWhenUsed/>
    <w:qFormat/>
    <w:rPr>
      <w:color w:val="0000CC"/>
      <w:u w:val="single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6">
    <w:name w:val="FollowedHyperlink"/>
    <w:basedOn w:val="a0"/>
    <w:uiPriority w:val="99"/>
    <w:unhideWhenUsed/>
    <w:qFormat/>
    <w:rPr>
      <w:color w:val="0000CC"/>
      <w:u w:val="single"/>
    </w:rPr>
  </w:style>
  <w:style w:type="character" w:styleId="a7">
    <w:name w:val="Hyperlink"/>
    <w:basedOn w:val="a0"/>
    <w:uiPriority w:val="99"/>
    <w:unhideWhenUsed/>
    <w:qFormat/>
    <w:rPr>
      <w:color w:val="0000CC"/>
      <w:u w:val="single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CB\Desktop\9&#26376;&#20221;&#22823;&#34920;\&#22825;&#27941;&#20998;&#34892;&#36164;&#20135;&#32452;&#21512;&#22411;&#29702;&#36130;&#20135;&#21697;&#21488;&#36134;201911&#26376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CB\Desktop\9&#26376;&#20221;&#22823;&#34920;\&#22825;&#27941;&#20998;&#34892;&#36164;&#20135;&#32452;&#21512;&#22411;&#29702;&#36130;&#20135;&#21697;&#21488;&#36134;201911&#26376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CB\Desktop\9&#26376;&#20221;&#22823;&#34920;\&#22825;&#27941;&#20998;&#34892;&#36164;&#20135;&#32452;&#21512;&#22411;&#29702;&#36130;&#20135;&#21697;&#21488;&#36134;201911&#2637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CN" altLang="en-US"/>
              <a:t>投资组合基本情况</a:t>
            </a:r>
          </a:p>
        </c:rich>
      </c:tx>
      <c:layout>
        <c:manualLayout>
          <c:xMode val="edge"/>
          <c:yMode val="edge"/>
          <c:x val="0.27700000000000002"/>
          <c:y val="8.3333333333333329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'日报表(发领导）'!$L$4:$L$7</c:f>
              <c:strCache>
                <c:ptCount val="4"/>
                <c:pt idx="0">
                  <c:v>现金及存款</c:v>
                </c:pt>
                <c:pt idx="1">
                  <c:v>债券</c:v>
                </c:pt>
                <c:pt idx="2">
                  <c:v>投资类</c:v>
                </c:pt>
                <c:pt idx="3">
                  <c:v>融资类资产</c:v>
                </c:pt>
              </c:strCache>
            </c:strRef>
          </c:cat>
          <c:val>
            <c:numRef>
              <c:f>'日报表(发领导）'!$M$4:$M$7</c:f>
              <c:numCache>
                <c:formatCode>#,##0.00_ </c:formatCode>
                <c:ptCount val="4"/>
                <c:pt idx="0">
                  <c:v>477795.94255200005</c:v>
                </c:pt>
                <c:pt idx="1">
                  <c:v>725088.64064292773</c:v>
                </c:pt>
                <c:pt idx="2">
                  <c:v>130000</c:v>
                </c:pt>
                <c:pt idx="3">
                  <c:v>602330.85885075945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8893197725284328"/>
          <c:y val="0.39830635753864102"/>
          <c:w val="0.18606802274715659"/>
          <c:h val="0.33486876640419949"/>
        </c:manualLayout>
      </c:layout>
      <c:overlay val="0"/>
      <c:txPr>
        <a:bodyPr/>
        <a:lstStyle/>
        <a:p>
          <a:pPr>
            <a:defRPr baseline="0">
              <a:ea typeface="彩虹粗仿宋" pitchFamily="65" charset="-122"/>
            </a:defRPr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CN" altLang="zh-CN" sz="1800" b="1" i="0" baseline="0">
                <a:effectLst/>
              </a:rPr>
              <a:t>资产行业占比构成</a:t>
            </a:r>
            <a:endParaRPr lang="zh-CN" altLang="zh-CN">
              <a:effectLst/>
            </a:endParaRPr>
          </a:p>
        </c:rich>
      </c:tx>
      <c:layout>
        <c:manualLayout>
          <c:xMode val="edge"/>
          <c:yMode val="edge"/>
          <c:x val="0.32452208495822826"/>
          <c:y val="5.4919908466819219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Sheet2!$D$5:$D$17</c:f>
              <c:strCache>
                <c:ptCount val="13"/>
                <c:pt idx="0">
                  <c:v>房地产开发经营</c:v>
                </c:pt>
                <c:pt idx="1">
                  <c:v>公共设施管理</c:v>
                </c:pt>
                <c:pt idx="2">
                  <c:v>计算机通信和其他电子制造业</c:v>
                </c:pt>
                <c:pt idx="3">
                  <c:v>建筑业</c:v>
                </c:pt>
                <c:pt idx="4">
                  <c:v>交通运输业</c:v>
                </c:pt>
                <c:pt idx="5">
                  <c:v>企业管理服务</c:v>
                </c:pt>
                <c:pt idx="6">
                  <c:v>商务服务业</c:v>
                </c:pt>
                <c:pt idx="7">
                  <c:v>市政公共设施管理</c:v>
                </c:pt>
                <c:pt idx="8">
                  <c:v>市政设施管理</c:v>
                </c:pt>
                <c:pt idx="9">
                  <c:v>水利、环境和公共设施管理业</c:v>
                </c:pt>
                <c:pt idx="10">
                  <c:v>投资与资产管理</c:v>
                </c:pt>
                <c:pt idx="11">
                  <c:v>土木工程建筑业</c:v>
                </c:pt>
                <c:pt idx="12">
                  <c:v>银行业</c:v>
                </c:pt>
              </c:strCache>
            </c:strRef>
          </c:cat>
          <c:val>
            <c:numRef>
              <c:f>Sheet2!$E$5:$E$17</c:f>
              <c:numCache>
                <c:formatCode>@</c:formatCode>
                <c:ptCount val="13"/>
                <c:pt idx="0">
                  <c:v>150000000</c:v>
                </c:pt>
                <c:pt idx="1">
                  <c:v>1363389831.0800004</c:v>
                </c:pt>
                <c:pt idx="2">
                  <c:v>218801807.25999999</c:v>
                </c:pt>
                <c:pt idx="3">
                  <c:v>371978708.97999996</c:v>
                </c:pt>
                <c:pt idx="4">
                  <c:v>459332116.38999999</c:v>
                </c:pt>
                <c:pt idx="5">
                  <c:v>240000000</c:v>
                </c:pt>
                <c:pt idx="6">
                  <c:v>453529561.75</c:v>
                </c:pt>
                <c:pt idx="7">
                  <c:v>414517737.37000006</c:v>
                </c:pt>
                <c:pt idx="8">
                  <c:v>300000000</c:v>
                </c:pt>
                <c:pt idx="9">
                  <c:v>386052254.69</c:v>
                </c:pt>
                <c:pt idx="10">
                  <c:v>200000000</c:v>
                </c:pt>
                <c:pt idx="11">
                  <c:v>400000000</c:v>
                </c:pt>
                <c:pt idx="12">
                  <c:v>19106317.690000009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baseline="0">
              <a:ea typeface="彩虹粗仿宋" pitchFamily="65" charset="-122"/>
            </a:defRPr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CN" altLang="en-US"/>
              <a:t>资产期限结构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Sheet3!$A$1:$A$5</c:f>
              <c:strCache>
                <c:ptCount val="5"/>
                <c:pt idx="0">
                  <c:v>现金及存款</c:v>
                </c:pt>
                <c:pt idx="1">
                  <c:v>半年（含）内到期</c:v>
                </c:pt>
                <c:pt idx="2">
                  <c:v>半年至一年（含）内到期</c:v>
                </c:pt>
                <c:pt idx="3">
                  <c:v>一年至五年（含）内到期</c:v>
                </c:pt>
                <c:pt idx="4">
                  <c:v>五年以上</c:v>
                </c:pt>
              </c:strCache>
            </c:strRef>
          </c:cat>
          <c:val>
            <c:numRef>
              <c:f>Sheet3!$B$1:$B$5</c:f>
              <c:numCache>
                <c:formatCode>0.00_ </c:formatCode>
                <c:ptCount val="5"/>
                <c:pt idx="0">
                  <c:v>4777959425.5200005</c:v>
                </c:pt>
                <c:pt idx="1">
                  <c:v>571541415.21000004</c:v>
                </c:pt>
                <c:pt idx="2">
                  <c:v>1740284243</c:v>
                </c:pt>
                <c:pt idx="3">
                  <c:v>3303312678.1799998</c:v>
                </c:pt>
                <c:pt idx="4">
                  <c:v>19106317.690000001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8615419947506564"/>
          <c:y val="0.19808070866141733"/>
          <c:w val="0.36384580052493437"/>
          <c:h val="0.69828302712160983"/>
        </c:manualLayout>
      </c:layout>
      <c:overlay val="0"/>
      <c:txPr>
        <a:bodyPr/>
        <a:lstStyle/>
        <a:p>
          <a:pPr>
            <a:defRPr baseline="0">
              <a:ea typeface="彩虹粗仿宋" pitchFamily="65" charset="-122"/>
            </a:defRPr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3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邱伟燕</dc:creator>
  <cp:lastModifiedBy>王琨</cp:lastModifiedBy>
  <cp:revision>167</cp:revision>
  <dcterms:created xsi:type="dcterms:W3CDTF">2015-01-27T02:04:00Z</dcterms:created>
  <dcterms:modified xsi:type="dcterms:W3CDTF">2019-12-03T05:43:00Z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