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36" w:rsidRPr="00473336" w:rsidRDefault="00473336" w:rsidP="00473336">
      <w:pPr>
        <w:widowControl/>
        <w:wordWrap w:val="0"/>
        <w:spacing w:line="460" w:lineRule="exact"/>
        <w:rPr>
          <w:rFonts w:asciiTheme="minorEastAsia" w:hAnsiTheme="minorEastAsia" w:cs="宋体"/>
          <w:b/>
          <w:color w:val="000000"/>
          <w:kern w:val="0"/>
          <w:szCs w:val="21"/>
        </w:rPr>
      </w:pPr>
      <w:bookmarkStart w:id="0" w:name="OLE_LINK2"/>
      <w:bookmarkStart w:id="1" w:name="OLE_LINK3"/>
      <w:r w:rsidRPr="00473336">
        <w:rPr>
          <w:rFonts w:asciiTheme="minorEastAsia" w:hAnsiTheme="minorEastAsia" w:cs="宋体" w:hint="eastAsia"/>
          <w:b/>
          <w:color w:val="000000"/>
          <w:kern w:val="0"/>
          <w:szCs w:val="21"/>
        </w:rPr>
        <w:t>中国建设银行浙江省分行“乾元—优享”封闭净值型理财产品</w:t>
      </w:r>
      <w:r w:rsidR="00866D9A">
        <w:rPr>
          <w:rFonts w:asciiTheme="minorEastAsia" w:hAnsiTheme="minorEastAsia" w:cs="宋体" w:hint="eastAsia"/>
          <w:b/>
          <w:color w:val="000000"/>
          <w:kern w:val="0"/>
          <w:szCs w:val="21"/>
        </w:rPr>
        <w:t>2016</w:t>
      </w:r>
      <w:r w:rsidRPr="00473336">
        <w:rPr>
          <w:rFonts w:asciiTheme="minorEastAsia" w:hAnsiTheme="minorEastAsia" w:cs="宋体" w:hint="eastAsia"/>
          <w:b/>
          <w:color w:val="000000"/>
          <w:kern w:val="0"/>
          <w:szCs w:val="21"/>
        </w:rPr>
        <w:t>年</w:t>
      </w:r>
      <w:r w:rsidR="00351474">
        <w:rPr>
          <w:rFonts w:asciiTheme="minorEastAsia" w:hAnsiTheme="minorEastAsia" w:cs="宋体" w:hint="eastAsia"/>
          <w:b/>
          <w:color w:val="000000"/>
          <w:kern w:val="0"/>
          <w:szCs w:val="21"/>
        </w:rPr>
        <w:t>6</w:t>
      </w:r>
      <w:r w:rsidRPr="00473336">
        <w:rPr>
          <w:rFonts w:asciiTheme="minorEastAsia" w:hAnsiTheme="minorEastAsia" w:cs="宋体" w:hint="eastAsia"/>
          <w:b/>
          <w:color w:val="000000"/>
          <w:kern w:val="0"/>
          <w:szCs w:val="21"/>
        </w:rPr>
        <w:t>月投资管理报告</w:t>
      </w:r>
    </w:p>
    <w:bookmarkEnd w:id="0"/>
    <w:bookmarkEnd w:id="1"/>
    <w:p w:rsidR="0080337E" w:rsidRPr="0080337E" w:rsidRDefault="00473336" w:rsidP="0080337E">
      <w:pPr>
        <w:widowControl/>
        <w:wordWrap w:val="0"/>
        <w:spacing w:line="460" w:lineRule="exact"/>
        <w:ind w:firstLineChars="200" w:firstLine="420"/>
        <w:jc w:val="center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报告日：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2016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 w:rsidR="000218FB">
        <w:rPr>
          <w:rFonts w:asciiTheme="minorEastAsia" w:hAnsiTheme="minorEastAsia" w:cs="宋体" w:hint="eastAsia"/>
          <w:color w:val="000000"/>
          <w:kern w:val="0"/>
          <w:szCs w:val="21"/>
        </w:rPr>
        <w:t>6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 w:rsidR="000218FB">
        <w:rPr>
          <w:rFonts w:asciiTheme="minorEastAsia" w:hAnsiTheme="minorEastAsia" w:cs="宋体" w:hint="eastAsia"/>
          <w:color w:val="000000"/>
          <w:kern w:val="0"/>
          <w:szCs w:val="21"/>
        </w:rPr>
        <w:t>30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日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中国建设银行浙江省分行“乾元—优享”封闭净值型理财产品2015年第1期于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2015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12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日正式成立，投资运作正常。截至报告日，目前本产品总资产规模为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300000000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份。</w:t>
      </w:r>
    </w:p>
    <w:p w:rsidR="0080337E" w:rsidRPr="0080337E" w:rsidRDefault="0080337E" w:rsidP="00F36E79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一、报告期</w:t>
      </w:r>
      <w:r w:rsidR="001607CA">
        <w:rPr>
          <w:rFonts w:asciiTheme="minorEastAsia" w:hAnsiTheme="minorEastAsia" w:cs="宋体" w:hint="eastAsia"/>
          <w:b/>
          <w:color w:val="000000"/>
          <w:kern w:val="0"/>
          <w:szCs w:val="21"/>
        </w:rPr>
        <w:t>产品净值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截至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2016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 w:rsidR="000218FB">
        <w:rPr>
          <w:rFonts w:asciiTheme="minorEastAsia" w:hAnsiTheme="minorEastAsia" w:cs="宋体" w:hint="eastAsia"/>
          <w:color w:val="000000"/>
          <w:kern w:val="0"/>
          <w:szCs w:val="21"/>
        </w:rPr>
        <w:t>6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 w:rsidR="000218FB">
        <w:rPr>
          <w:rFonts w:asciiTheme="minorEastAsia" w:hAnsiTheme="minorEastAsia" w:cs="宋体" w:hint="eastAsia"/>
          <w:color w:val="000000"/>
          <w:kern w:val="0"/>
          <w:szCs w:val="21"/>
        </w:rPr>
        <w:t>30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日，产品单位净值为1.0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0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80337E" w:rsidRPr="0080337E" w:rsidRDefault="00383A8F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产品净值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计算方法，请具体查阅产品说明书。</w:t>
      </w:r>
    </w:p>
    <w:p w:rsidR="0080337E" w:rsidRPr="0080337E" w:rsidRDefault="0080337E" w:rsidP="00F36E79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二、产品投资组合详细情况</w:t>
      </w:r>
    </w:p>
    <w:p w:rsidR="0080337E" w:rsidRPr="00383A8F" w:rsidRDefault="0080337E" w:rsidP="00383A8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383A8F">
        <w:rPr>
          <w:rFonts w:asciiTheme="minorEastAsia" w:hAnsiTheme="minorEastAsia" w:cs="宋体" w:hint="eastAsia"/>
          <w:color w:val="000000"/>
          <w:kern w:val="0"/>
          <w:szCs w:val="21"/>
        </w:rPr>
        <w:t>（一）投资组合</w:t>
      </w:r>
      <w:r w:rsidR="007B6CBF" w:rsidRPr="00383A8F">
        <w:rPr>
          <w:rFonts w:asciiTheme="minorEastAsia" w:hAnsiTheme="minorEastAsia" w:cs="宋体" w:hint="eastAsia"/>
          <w:color w:val="000000"/>
          <w:kern w:val="0"/>
          <w:szCs w:val="21"/>
        </w:rPr>
        <w:t>范围</w:t>
      </w:r>
    </w:p>
    <w:p w:rsidR="00473336" w:rsidRDefault="00473336" w:rsidP="00473336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本产品投资于期货、期权、股票、基金等，进行（股票、国债和商品）期货与（股票、国债和商品）现货间的期现套利、跨期套利、跨品种套利和事件套利。</w:t>
      </w:r>
    </w:p>
    <w:p w:rsidR="00473336" w:rsidRPr="00383A8F" w:rsidRDefault="00473336" w:rsidP="00383A8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383A8F">
        <w:rPr>
          <w:rFonts w:asciiTheme="minorEastAsia" w:hAnsiTheme="minorEastAsia" w:cs="宋体" w:hint="eastAsia"/>
          <w:color w:val="000000"/>
          <w:kern w:val="0"/>
          <w:szCs w:val="21"/>
        </w:rPr>
        <w:t>（二）投资组合比例</w:t>
      </w:r>
    </w:p>
    <w:p w:rsidR="00473336" w:rsidRPr="00473336" w:rsidRDefault="00866D9A" w:rsidP="00473336">
      <w:pPr>
        <w:ind w:firstLineChars="100" w:firstLine="210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2016</w:t>
      </w:r>
      <w:r w:rsidR="00473336" w:rsidRPr="00473336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 w:rsidR="000218FB">
        <w:rPr>
          <w:rFonts w:asciiTheme="minorEastAsia" w:hAnsiTheme="minorEastAsia" w:cs="宋体" w:hint="eastAsia"/>
          <w:color w:val="000000"/>
          <w:kern w:val="0"/>
          <w:szCs w:val="21"/>
        </w:rPr>
        <w:t>6</w:t>
      </w:r>
      <w:r w:rsidR="00473336" w:rsidRPr="00473336">
        <w:rPr>
          <w:rFonts w:asciiTheme="minorEastAsia" w:hAnsiTheme="minorEastAsia" w:cs="宋体" w:hint="eastAsia"/>
          <w:color w:val="000000"/>
          <w:kern w:val="0"/>
          <w:szCs w:val="21"/>
        </w:rPr>
        <w:t>月投资比例：</w:t>
      </w:r>
    </w:p>
    <w:p w:rsidR="00473336" w:rsidRPr="00473336" w:rsidRDefault="00473336" w:rsidP="00473336">
      <w:pPr>
        <w:ind w:firstLineChars="300" w:firstLine="630"/>
        <w:rPr>
          <w:rFonts w:asciiTheme="minorEastAsia" w:hAnsiTheme="minorEastAsia" w:cs="宋体"/>
          <w:color w:val="000000"/>
          <w:kern w:val="0"/>
          <w:szCs w:val="21"/>
        </w:rPr>
      </w:pP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股票：</w:t>
      </w:r>
      <w:r w:rsidR="000218FB">
        <w:rPr>
          <w:rFonts w:asciiTheme="minorEastAsia" w:hAnsiTheme="minorEastAsia" w:cs="宋体" w:hint="eastAsia"/>
          <w:color w:val="000000"/>
          <w:kern w:val="0"/>
          <w:szCs w:val="21"/>
        </w:rPr>
        <w:t>14.39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债券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0.00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基金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  <w:r w:rsidR="000218FB">
        <w:rPr>
          <w:rFonts w:asciiTheme="minorEastAsia" w:hAnsiTheme="minorEastAsia" w:cs="宋体" w:hint="eastAsia"/>
          <w:color w:val="000000"/>
          <w:kern w:val="0"/>
          <w:szCs w:val="21"/>
        </w:rPr>
        <w:t>54.30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期货</w:t>
      </w:r>
      <w:r w:rsidR="000218FB">
        <w:rPr>
          <w:rFonts w:asciiTheme="minorEastAsia" w:hAnsiTheme="minorEastAsia" w:cs="宋体" w:hint="eastAsia"/>
          <w:color w:val="000000"/>
          <w:kern w:val="0"/>
          <w:szCs w:val="21"/>
        </w:rPr>
        <w:t>18.03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%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；期权：</w:t>
      </w:r>
      <w:r w:rsidR="000218FB">
        <w:rPr>
          <w:rFonts w:asciiTheme="minorEastAsia" w:hAnsiTheme="minorEastAsia" w:cs="宋体" w:hint="eastAsia"/>
          <w:color w:val="000000"/>
          <w:kern w:val="0"/>
          <w:szCs w:val="21"/>
        </w:rPr>
        <w:t>1.06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="000218FB">
        <w:rPr>
          <w:rFonts w:asciiTheme="minorEastAsia" w:hAnsiTheme="minorEastAsia" w:cs="宋体" w:hint="eastAsia"/>
          <w:color w:val="000000"/>
          <w:kern w:val="0"/>
          <w:szCs w:val="21"/>
        </w:rPr>
        <w:t>回购：3.33%；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现金：</w:t>
      </w:r>
      <w:r w:rsidR="000218FB">
        <w:rPr>
          <w:rFonts w:asciiTheme="minorEastAsia" w:hAnsiTheme="minorEastAsia" w:cs="宋体" w:hint="eastAsia"/>
          <w:color w:val="000000"/>
          <w:kern w:val="0"/>
          <w:szCs w:val="21"/>
        </w:rPr>
        <w:t>8.89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</w:t>
      </w:r>
      <w:r w:rsidR="00023B16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80337E" w:rsidRPr="0080337E" w:rsidRDefault="0080337E" w:rsidP="00473336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三、产品整体运作情况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 w:rsidR="00473336">
        <w:rPr>
          <w:rFonts w:asciiTheme="minorEastAsia" w:hAnsiTheme="minorEastAsia" w:cs="宋体" w:hint="eastAsia"/>
          <w:color w:val="000000"/>
          <w:kern w:val="0"/>
          <w:szCs w:val="21"/>
        </w:rPr>
        <w:t>一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）自本产品成立起至本报告日，产品管理人恪尽职守、勤勉尽责、谨慎管理，忠实履行有关法律、行政法规和相关文件的规定。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 w:rsidR="00473336">
        <w:rPr>
          <w:rFonts w:asciiTheme="minorEastAsia" w:hAnsiTheme="minorEastAsia" w:cs="宋体" w:hint="eastAsia"/>
          <w:color w:val="000000"/>
          <w:kern w:val="0"/>
          <w:szCs w:val="21"/>
        </w:rPr>
        <w:t>二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）截至本报告日，所有投资资产正常运营，未发现有异常情况或者不利情况。</w:t>
      </w:r>
    </w:p>
    <w:p w:rsid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 w:rsidR="00473336">
        <w:rPr>
          <w:rFonts w:asciiTheme="minorEastAsia" w:hAnsiTheme="minorEastAsia" w:cs="宋体" w:hint="eastAsia"/>
          <w:color w:val="000000"/>
          <w:kern w:val="0"/>
          <w:szCs w:val="21"/>
        </w:rPr>
        <w:t>三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）本产品自成立至本报告日，没有发生涉诉及诉讼等损害投资者利益的情形。</w:t>
      </w:r>
    </w:p>
    <w:p w:rsidR="00473336" w:rsidRDefault="00473336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    中国建设银行浙江省分行</w:t>
      </w:r>
    </w:p>
    <w:p w:rsidR="00473336" w:rsidRPr="0080337E" w:rsidRDefault="00473336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       2016年</w:t>
      </w:r>
      <w:r w:rsidR="000218FB">
        <w:rPr>
          <w:rFonts w:asciiTheme="minorEastAsia" w:hAnsiTheme="minorEastAsia" w:cs="宋体" w:hint="eastAsia"/>
          <w:color w:val="000000"/>
          <w:kern w:val="0"/>
          <w:szCs w:val="21"/>
        </w:rPr>
        <w:t>7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 w:rsidR="000218FB">
        <w:rPr>
          <w:rFonts w:asciiTheme="minorEastAsia" w:hAnsiTheme="minorEastAsia" w:cs="宋体" w:hint="eastAsia"/>
          <w:color w:val="000000"/>
          <w:kern w:val="0"/>
          <w:szCs w:val="21"/>
        </w:rPr>
        <w:t>11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日</w:t>
      </w:r>
    </w:p>
    <w:p w:rsidR="002D3726" w:rsidRPr="0080337E" w:rsidRDefault="002D3726"/>
    <w:sectPr w:rsidR="002D3726" w:rsidRPr="0080337E" w:rsidSect="002D3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795" w:rsidRDefault="00552795" w:rsidP="001607CA">
      <w:r>
        <w:separator/>
      </w:r>
    </w:p>
  </w:endnote>
  <w:endnote w:type="continuationSeparator" w:id="1">
    <w:p w:rsidR="00552795" w:rsidRDefault="00552795" w:rsidP="00160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795" w:rsidRDefault="00552795" w:rsidP="001607CA">
      <w:r>
        <w:separator/>
      </w:r>
    </w:p>
  </w:footnote>
  <w:footnote w:type="continuationSeparator" w:id="1">
    <w:p w:rsidR="00552795" w:rsidRDefault="00552795" w:rsidP="00160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37E"/>
    <w:rsid w:val="000218FB"/>
    <w:rsid w:val="00023B16"/>
    <w:rsid w:val="00062EFB"/>
    <w:rsid w:val="001607CA"/>
    <w:rsid w:val="002260C9"/>
    <w:rsid w:val="00291174"/>
    <w:rsid w:val="002C0283"/>
    <w:rsid w:val="002D3726"/>
    <w:rsid w:val="00351474"/>
    <w:rsid w:val="00383A8F"/>
    <w:rsid w:val="00393EA2"/>
    <w:rsid w:val="003B2DC1"/>
    <w:rsid w:val="00473336"/>
    <w:rsid w:val="00550474"/>
    <w:rsid w:val="00552795"/>
    <w:rsid w:val="005E25B2"/>
    <w:rsid w:val="00620DCD"/>
    <w:rsid w:val="00643DED"/>
    <w:rsid w:val="0066620E"/>
    <w:rsid w:val="006B6933"/>
    <w:rsid w:val="007668B3"/>
    <w:rsid w:val="00790E54"/>
    <w:rsid w:val="007B0248"/>
    <w:rsid w:val="007B6CBF"/>
    <w:rsid w:val="007B7F2E"/>
    <w:rsid w:val="0080337E"/>
    <w:rsid w:val="00866D9A"/>
    <w:rsid w:val="00916025"/>
    <w:rsid w:val="00B46681"/>
    <w:rsid w:val="00BA4691"/>
    <w:rsid w:val="00BF2B17"/>
    <w:rsid w:val="00DA3DA8"/>
    <w:rsid w:val="00E355C1"/>
    <w:rsid w:val="00E40AFC"/>
    <w:rsid w:val="00F36E79"/>
    <w:rsid w:val="00F5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33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337E"/>
    <w:rPr>
      <w:sz w:val="18"/>
      <w:szCs w:val="18"/>
    </w:rPr>
  </w:style>
  <w:style w:type="table" w:styleId="a4">
    <w:name w:val="Table Grid"/>
    <w:basedOn w:val="a1"/>
    <w:uiPriority w:val="39"/>
    <w:rsid w:val="00473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16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607C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60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607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刘佳</cp:lastModifiedBy>
  <cp:revision>2</cp:revision>
  <cp:lastPrinted>2016-04-13T07:07:00Z</cp:lastPrinted>
  <dcterms:created xsi:type="dcterms:W3CDTF">2016-07-11T06:55:00Z</dcterms:created>
  <dcterms:modified xsi:type="dcterms:W3CDTF">2016-07-11T06:55:00Z</dcterms:modified>
</cp:coreProperties>
</file>